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7F4DD" w14:textId="77777777" w:rsidR="0083669F" w:rsidRDefault="0083669F" w:rsidP="0083669F">
      <w:pPr>
        <w:pStyle w:val="3GPPHeader"/>
        <w:spacing w:after="60"/>
      </w:pPr>
      <w:bookmarkStart w:id="0" w:name="_Hlk485129269"/>
      <w:bookmarkStart w:id="1" w:name="_GoBack"/>
      <w:bookmarkEnd w:id="0"/>
      <w:bookmarkEnd w:id="1"/>
    </w:p>
    <w:p w14:paraId="04BBBF4A" w14:textId="2C8D6BAC" w:rsidR="00437698" w:rsidRPr="00CE0424" w:rsidRDefault="00437698" w:rsidP="00437698">
      <w:pPr>
        <w:pStyle w:val="3GPPHeader"/>
        <w:spacing w:after="60"/>
        <w:rPr>
          <w:sz w:val="32"/>
          <w:szCs w:val="32"/>
          <w:highlight w:val="yellow"/>
        </w:rPr>
      </w:pPr>
      <w:r w:rsidRPr="00CE0424">
        <w:t>3GPP TSG-RAN WG</w:t>
      </w:r>
      <w:r>
        <w:t>2</w:t>
      </w:r>
      <w:r w:rsidRPr="00CE0424">
        <w:t xml:space="preserve"> #</w:t>
      </w:r>
      <w:r>
        <w:t>99</w:t>
      </w:r>
      <w:r w:rsidRPr="00CE0424">
        <w:tab/>
      </w:r>
      <w:r w:rsidRPr="00CE0424">
        <w:rPr>
          <w:sz w:val="32"/>
          <w:szCs w:val="32"/>
        </w:rPr>
        <w:t>Tdoc R2-</w:t>
      </w:r>
      <w:r w:rsidR="00174871" w:rsidRPr="00CE0424">
        <w:rPr>
          <w:sz w:val="32"/>
          <w:szCs w:val="32"/>
        </w:rPr>
        <w:t>1</w:t>
      </w:r>
      <w:r w:rsidR="00174871">
        <w:rPr>
          <w:sz w:val="32"/>
          <w:szCs w:val="32"/>
        </w:rPr>
        <w:t>7</w:t>
      </w:r>
      <w:r w:rsidR="00174871" w:rsidRPr="00C82FAF">
        <w:rPr>
          <w:sz w:val="32"/>
          <w:szCs w:val="32"/>
        </w:rPr>
        <w:t>08349</w:t>
      </w:r>
    </w:p>
    <w:p w14:paraId="31A61A41" w14:textId="77777777" w:rsidR="00437698" w:rsidRPr="00CE0424" w:rsidRDefault="00437698" w:rsidP="00437698">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4C49F512" w14:textId="77777777" w:rsidR="00437698" w:rsidRPr="00CE0424" w:rsidRDefault="00437698" w:rsidP="00437698">
      <w:pPr>
        <w:pStyle w:val="3GPPHeader"/>
      </w:pPr>
    </w:p>
    <w:p w14:paraId="4C4B9BFD" w14:textId="471148A4" w:rsidR="00437698" w:rsidRPr="00C82FAF" w:rsidRDefault="00437698" w:rsidP="00437698">
      <w:pPr>
        <w:pStyle w:val="3GPPHeader"/>
        <w:rPr>
          <w:sz w:val="22"/>
          <w:szCs w:val="22"/>
          <w:lang w:val="en-US"/>
        </w:rPr>
      </w:pPr>
      <w:r w:rsidRPr="00C82FAF">
        <w:rPr>
          <w:sz w:val="22"/>
          <w:szCs w:val="22"/>
          <w:lang w:val="en-US"/>
        </w:rPr>
        <w:t>Agenda Item:</w:t>
      </w:r>
      <w:r w:rsidRPr="00C82FAF">
        <w:rPr>
          <w:sz w:val="22"/>
          <w:szCs w:val="22"/>
          <w:lang w:val="en-US"/>
        </w:rPr>
        <w:tab/>
      </w:r>
      <w:r w:rsidR="00174871" w:rsidRPr="00C82FAF">
        <w:rPr>
          <w:sz w:val="22"/>
          <w:szCs w:val="22"/>
          <w:lang w:val="en-US"/>
        </w:rPr>
        <w:t>10.3.1.6</w:t>
      </w:r>
    </w:p>
    <w:p w14:paraId="0BAC1AB2" w14:textId="77777777" w:rsidR="00437698" w:rsidRPr="00CE0424" w:rsidRDefault="00437698" w:rsidP="00437698">
      <w:pPr>
        <w:pStyle w:val="3GPPHeader"/>
        <w:rPr>
          <w:sz w:val="22"/>
          <w:szCs w:val="22"/>
        </w:rPr>
      </w:pPr>
      <w:r>
        <w:rPr>
          <w:sz w:val="22"/>
          <w:szCs w:val="22"/>
        </w:rPr>
        <w:t>Source:</w:t>
      </w:r>
      <w:r w:rsidRPr="00CE0424">
        <w:rPr>
          <w:sz w:val="22"/>
          <w:szCs w:val="22"/>
        </w:rPr>
        <w:tab/>
        <w:t>Ericsson</w:t>
      </w:r>
    </w:p>
    <w:p w14:paraId="6488D3B6" w14:textId="63DDCCE8" w:rsidR="00437698" w:rsidRPr="00CE0424" w:rsidRDefault="00437698" w:rsidP="00437698">
      <w:pPr>
        <w:pStyle w:val="3GPPHeader"/>
        <w:rPr>
          <w:sz w:val="22"/>
          <w:szCs w:val="22"/>
        </w:rPr>
      </w:pPr>
      <w:r>
        <w:rPr>
          <w:sz w:val="22"/>
          <w:szCs w:val="22"/>
        </w:rPr>
        <w:t>Title:</w:t>
      </w:r>
      <w:r w:rsidRPr="00CE0424">
        <w:rPr>
          <w:sz w:val="22"/>
          <w:szCs w:val="22"/>
        </w:rPr>
        <w:tab/>
      </w:r>
      <w:r>
        <w:rPr>
          <w:sz w:val="22"/>
          <w:szCs w:val="22"/>
        </w:rPr>
        <w:t>BSR formats in NR</w:t>
      </w:r>
    </w:p>
    <w:p w14:paraId="702EDE08" w14:textId="77777777" w:rsidR="00437698" w:rsidRPr="00646C5D" w:rsidRDefault="00437698" w:rsidP="00437698">
      <w:pPr>
        <w:pStyle w:val="3GPPHeader"/>
        <w:rPr>
          <w:sz w:val="22"/>
          <w:szCs w:val="22"/>
        </w:rPr>
      </w:pPr>
      <w:r w:rsidRPr="00CE0424">
        <w:rPr>
          <w:sz w:val="22"/>
          <w:szCs w:val="22"/>
        </w:rPr>
        <w:t>Document for:</w:t>
      </w:r>
      <w:r w:rsidRPr="00CE0424">
        <w:rPr>
          <w:sz w:val="22"/>
          <w:szCs w:val="22"/>
        </w:rPr>
        <w:tab/>
      </w:r>
      <w:r w:rsidRPr="00C82FAF">
        <w:rPr>
          <w:sz w:val="22"/>
          <w:szCs w:val="22"/>
        </w:rPr>
        <w:t>Discussion, Decision</w:t>
      </w:r>
    </w:p>
    <w:p w14:paraId="76C066DA" w14:textId="77777777" w:rsidR="0083669F" w:rsidRDefault="0083669F" w:rsidP="0083669F">
      <w:pPr>
        <w:pStyle w:val="Heading1"/>
        <w:numPr>
          <w:ilvl w:val="0"/>
          <w:numId w:val="16"/>
        </w:numPr>
        <w:textAlignment w:val="auto"/>
      </w:pPr>
      <w:r>
        <w:t>Introduction</w:t>
      </w:r>
    </w:p>
    <w:p w14:paraId="4E36A88A" w14:textId="77777777" w:rsidR="0083669F" w:rsidRDefault="0083669F" w:rsidP="0083669F">
      <w:r>
        <w:rPr>
          <w:bCs/>
          <w:lang w:val="en-US"/>
        </w:rPr>
        <w:t xml:space="preserve">Uplink scheduling is a key functionality </w:t>
      </w:r>
      <w:r w:rsidRPr="00821AB7">
        <w:rPr>
          <w:bCs/>
          <w:lang w:val="en-US"/>
        </w:rPr>
        <w:t>to meet a broad range of use cases including enhanced mobile broadband, massive MTC, critical MTC, and additional requirements defined during the RAN requirements study</w:t>
      </w:r>
      <w:r>
        <w:rPr>
          <w:bCs/>
          <w:lang w:val="en-US"/>
        </w:rPr>
        <w:t>. Details to how this functionality can be designed, compared to the baseline framework of LTE</w:t>
      </w:r>
      <w:r w:rsidRPr="00821AB7">
        <w:rPr>
          <w:bCs/>
          <w:lang w:val="en-US"/>
        </w:rPr>
        <w:t xml:space="preserve"> </w:t>
      </w:r>
      <w:r>
        <w:rPr>
          <w:bCs/>
          <w:lang w:val="en-US"/>
        </w:rPr>
        <w:t xml:space="preserve">is discussed in contributions. </w:t>
      </w:r>
    </w:p>
    <w:p w14:paraId="21EC8CFA" w14:textId="77777777" w:rsidR="0083669F" w:rsidRPr="00F3550D" w:rsidRDefault="0083669F" w:rsidP="0083669F">
      <w:pPr>
        <w:rPr>
          <w:bCs/>
        </w:rPr>
      </w:pPr>
      <w:r w:rsidRPr="00F3550D">
        <w:rPr>
          <w:bCs/>
          <w:lang w:val="en-US"/>
        </w:rPr>
        <w:t xml:space="preserve">In #RAN2 98 some agreements related to </w:t>
      </w:r>
      <w:r>
        <w:rPr>
          <w:bCs/>
          <w:lang w:val="en-US"/>
        </w:rPr>
        <w:t>B</w:t>
      </w:r>
      <w:r w:rsidRPr="00F3550D">
        <w:rPr>
          <w:bCs/>
        </w:rPr>
        <w:t xml:space="preserve">SR were reached. </w:t>
      </w:r>
    </w:p>
    <w:p w14:paraId="0AE91A4E" w14:textId="77777777" w:rsidR="0083669F" w:rsidRDefault="0083669F" w:rsidP="0083669F">
      <w:pPr>
        <w:pStyle w:val="Doc-text2"/>
        <w:pBdr>
          <w:top w:val="single" w:sz="4" w:space="1" w:color="auto"/>
          <w:left w:val="single" w:sz="4" w:space="4" w:color="auto"/>
          <w:bottom w:val="single" w:sz="4" w:space="1" w:color="auto"/>
          <w:right w:val="single" w:sz="4" w:space="4" w:color="auto"/>
        </w:pBdr>
        <w:rPr>
          <w:b/>
        </w:rPr>
      </w:pPr>
      <w:r>
        <w:rPr>
          <w:b/>
        </w:rPr>
        <w:t>Agreements</w:t>
      </w:r>
    </w:p>
    <w:p w14:paraId="2BA2E0C1"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number of LCGs will be increased up to 8.  </w:t>
      </w:r>
    </w:p>
    <w:p w14:paraId="22950B5B"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concept of </w:t>
      </w:r>
      <w:r>
        <w:rPr>
          <w:i/>
        </w:rPr>
        <w:t>periodicBSR-timer</w:t>
      </w:r>
      <w:r>
        <w:t xml:space="preserve"> and </w:t>
      </w:r>
      <w:r>
        <w:rPr>
          <w:i/>
        </w:rPr>
        <w:t>retx-BSRtimers</w:t>
      </w:r>
      <w:r>
        <w:t xml:space="preserve"> are reused and are configured per MAC entity </w:t>
      </w:r>
    </w:p>
    <w:p w14:paraId="4AE16139"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14:paraId="435BA644" w14:textId="77777777" w:rsidR="0083669F" w:rsidRDefault="0083669F" w:rsidP="0083669F">
      <w:pPr>
        <w:pStyle w:val="Doc-text2"/>
        <w:numPr>
          <w:ilvl w:val="0"/>
          <w:numId w:val="41"/>
        </w:numPr>
        <w:pBdr>
          <w:top w:val="single" w:sz="4" w:space="1" w:color="auto"/>
          <w:left w:val="single" w:sz="4" w:space="4" w:color="auto"/>
          <w:bottom w:val="single" w:sz="4" w:space="1" w:color="auto"/>
          <w:right w:val="single" w:sz="4" w:space="4" w:color="auto"/>
        </w:pBdr>
      </w:pPr>
      <w:r>
        <w:t xml:space="preserve">The logicalChannelSR-Mask is supported </w:t>
      </w:r>
    </w:p>
    <w:p w14:paraId="3FB74F90" w14:textId="77777777" w:rsidR="008C5807" w:rsidRDefault="008C5807" w:rsidP="008C5807">
      <w:pPr>
        <w:pStyle w:val="Header"/>
        <w:rPr>
          <w:b w:val="0"/>
          <w:bCs w:val="0"/>
          <w:sz w:val="20"/>
        </w:rPr>
      </w:pPr>
    </w:p>
    <w:p w14:paraId="1E2242D2" w14:textId="24E3516C" w:rsidR="008C5807" w:rsidRDefault="008C5807" w:rsidP="008C5807">
      <w:pPr>
        <w:pStyle w:val="Header"/>
        <w:rPr>
          <w:b w:val="0"/>
          <w:bCs w:val="0"/>
          <w:sz w:val="20"/>
          <w:lang w:val="en-GB"/>
        </w:rPr>
      </w:pPr>
      <w:r w:rsidRPr="000F3585">
        <w:rPr>
          <w:b w:val="0"/>
          <w:bCs w:val="0"/>
          <w:sz w:val="20"/>
        </w:rPr>
        <w:t xml:space="preserve">In RAN2#AdHoc held on </w:t>
      </w:r>
      <w:r w:rsidRPr="000F3585">
        <w:rPr>
          <w:b w:val="0"/>
          <w:sz w:val="20"/>
          <w:lang w:val="en-GB"/>
        </w:rPr>
        <w:t>27th – 29th June 2017</w:t>
      </w:r>
      <w:r>
        <w:rPr>
          <w:b w:val="0"/>
          <w:bCs w:val="0"/>
          <w:sz w:val="20"/>
          <w:lang w:val="en-GB"/>
        </w:rPr>
        <w:t>, some agreements related to the BSR triggers were made</w:t>
      </w:r>
    </w:p>
    <w:p w14:paraId="236A3C52" w14:textId="77777777" w:rsidR="008C5807" w:rsidRDefault="008C5807" w:rsidP="008C5807">
      <w:pPr>
        <w:pStyle w:val="Doc-text2"/>
        <w:pBdr>
          <w:top w:val="single" w:sz="4" w:space="1" w:color="auto"/>
          <w:left w:val="single" w:sz="4" w:space="4" w:color="auto"/>
          <w:bottom w:val="single" w:sz="4" w:space="1" w:color="auto"/>
          <w:right w:val="single" w:sz="4" w:space="4" w:color="auto"/>
        </w:pBdr>
        <w:ind w:left="1259" w:firstLine="0"/>
      </w:pPr>
      <w:r>
        <w:t>Agreements</w:t>
      </w:r>
    </w:p>
    <w:p w14:paraId="3D98DAF3" w14:textId="77777777" w:rsidR="008C5807" w:rsidRDefault="008C5807" w:rsidP="008C5807">
      <w:pPr>
        <w:pStyle w:val="Doc-text2"/>
        <w:pBdr>
          <w:top w:val="single" w:sz="4" w:space="1" w:color="auto"/>
          <w:left w:val="single" w:sz="4" w:space="4" w:color="auto"/>
          <w:bottom w:val="single" w:sz="4" w:space="1" w:color="auto"/>
          <w:right w:val="single" w:sz="4" w:space="4" w:color="auto"/>
        </w:pBdr>
        <w:ind w:left="1259" w:firstLine="0"/>
      </w:pPr>
      <w:r>
        <w:t>=&gt;</w:t>
      </w:r>
      <w:r>
        <w:tab/>
        <w:t xml:space="preserve">No new BSR triggers in addition to LTE are needed </w:t>
      </w:r>
    </w:p>
    <w:p w14:paraId="5F1A145C" w14:textId="77777777" w:rsidR="008C5807" w:rsidRDefault="008C5807" w:rsidP="008C5807"/>
    <w:p w14:paraId="45D2CEE8" w14:textId="55F32FB8" w:rsidR="0083669F" w:rsidRPr="008C5807" w:rsidRDefault="008C5807" w:rsidP="008C5807">
      <w:r w:rsidRPr="008C5807">
        <w:t xml:space="preserve">Being based on the LTE </w:t>
      </w:r>
      <w:r>
        <w:t>BSR format</w:t>
      </w:r>
      <w:r w:rsidRPr="008C5807">
        <w:t xml:space="preserve"> as a baseline for NR, this contribution discusses the further potential enhancements for BSR </w:t>
      </w:r>
      <w:r>
        <w:t>format</w:t>
      </w:r>
      <w:r w:rsidRPr="008C5807">
        <w:t xml:space="preserve"> to </w:t>
      </w:r>
      <w:r w:rsidR="009A6492">
        <w:t>enable the further progress</w:t>
      </w:r>
      <w:r w:rsidRPr="008C5807">
        <w:t>.</w:t>
      </w:r>
    </w:p>
    <w:p w14:paraId="4358801C" w14:textId="77777777" w:rsidR="0083669F" w:rsidRDefault="0083669F" w:rsidP="0083669F">
      <w:pPr>
        <w:pStyle w:val="Heading1"/>
        <w:numPr>
          <w:ilvl w:val="0"/>
          <w:numId w:val="16"/>
        </w:numPr>
        <w:textAlignment w:val="auto"/>
      </w:pPr>
      <w:bookmarkStart w:id="2" w:name="_Ref178064866"/>
      <w:r>
        <w:t>Discussion</w:t>
      </w:r>
      <w:bookmarkEnd w:id="2"/>
    </w:p>
    <w:p w14:paraId="26FE4CD2" w14:textId="16CADFF1" w:rsidR="00870008" w:rsidRDefault="00870008" w:rsidP="00870008">
      <w:pPr>
        <w:pStyle w:val="Heading2"/>
      </w:pPr>
      <w:bookmarkStart w:id="3" w:name="_Toc477984910"/>
      <w:bookmarkStart w:id="4" w:name="_Toc477984963"/>
      <w:bookmarkStart w:id="5" w:name="_Toc477985624"/>
      <w:bookmarkStart w:id="6" w:name="_Toc477255583"/>
      <w:bookmarkStart w:id="7" w:name="_Toc477266017"/>
      <w:bookmarkStart w:id="8" w:name="_Toc477971212"/>
      <w:bookmarkStart w:id="9" w:name="_Toc477971226"/>
      <w:bookmarkStart w:id="10" w:name="_Toc477971635"/>
      <w:bookmarkStart w:id="11" w:name="_Toc477254249"/>
      <w:bookmarkStart w:id="12" w:name="_Toc477254272"/>
      <w:bookmarkStart w:id="13" w:name="_Toc477254301"/>
      <w:bookmarkStart w:id="14" w:name="_Toc477255588"/>
      <w:bookmarkStart w:id="15" w:name="_Toc477266022"/>
      <w:bookmarkStart w:id="16" w:name="_Toc477971203"/>
      <w:bookmarkStart w:id="17" w:name="_Toc477971208"/>
      <w:bookmarkStart w:id="18" w:name="_Toc462843369"/>
      <w:bookmarkStart w:id="19" w:name="_Toc462843271"/>
      <w:bookmarkStart w:id="20" w:name="_Toc462843283"/>
      <w:bookmarkStart w:id="21" w:name="_Toc462843312"/>
      <w:bookmarkStart w:id="22" w:name="_Toc462843326"/>
      <w:bookmarkStart w:id="23" w:name="_Toc462843273"/>
      <w:bookmarkStart w:id="24" w:name="_Toc462843285"/>
      <w:bookmarkStart w:id="25" w:name="_Toc462843314"/>
      <w:bookmarkStart w:id="26" w:name="_Toc462843328"/>
      <w:bookmarkStart w:id="27" w:name="_Toc462843372"/>
      <w:bookmarkStart w:id="28" w:name="_Toc462843274"/>
      <w:bookmarkStart w:id="29" w:name="_Toc462843286"/>
      <w:bookmarkStart w:id="30" w:name="_Toc462843315"/>
      <w:bookmarkStart w:id="31" w:name="_Toc462843329"/>
      <w:bookmarkStart w:id="32" w:name="_Toc462843373"/>
      <w:bookmarkStart w:id="33" w:name="_Toc462843275"/>
      <w:bookmarkStart w:id="34" w:name="_Toc462843287"/>
      <w:bookmarkStart w:id="35" w:name="_Toc462843316"/>
      <w:bookmarkStart w:id="36" w:name="_Toc462843330"/>
      <w:bookmarkStart w:id="37" w:name="_Toc462843374"/>
      <w:bookmarkStart w:id="38" w:name="_Toc462843276"/>
      <w:bookmarkStart w:id="39" w:name="_Toc462843288"/>
      <w:bookmarkStart w:id="40" w:name="_Toc462843317"/>
      <w:bookmarkStart w:id="41" w:name="_Toc462843331"/>
      <w:bookmarkStart w:id="42" w:name="_Toc462843375"/>
      <w:bookmarkStart w:id="43" w:name="_Toc457910612"/>
      <w:bookmarkStart w:id="44" w:name="_Toc458413505"/>
      <w:bookmarkStart w:id="45" w:name="_Toc458718272"/>
      <w:bookmarkStart w:id="46" w:name="_Toc458718317"/>
      <w:bookmarkStart w:id="47" w:name="_Toc477971217"/>
      <w:bookmarkStart w:id="48" w:name="_Toc477971231"/>
      <w:bookmarkStart w:id="49" w:name="_Toc477971640"/>
      <w:bookmarkStart w:id="50" w:name="_Toc477984915"/>
      <w:bookmarkStart w:id="51" w:name="_Toc477971218"/>
      <w:bookmarkStart w:id="52" w:name="_Toc477971232"/>
      <w:bookmarkStart w:id="53" w:name="_Toc477971641"/>
      <w:bookmarkStart w:id="54" w:name="_Toc477984916"/>
      <w:bookmarkStart w:id="55" w:name="_Toc477729381"/>
      <w:bookmarkStart w:id="56" w:name="_Toc47772938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General Aspects</w:t>
      </w:r>
    </w:p>
    <w:p w14:paraId="2E25CAB9" w14:textId="3348F6F3" w:rsidR="0083669F" w:rsidRDefault="0083669F" w:rsidP="0083669F">
      <w:pPr>
        <w:rPr>
          <w:rFonts w:cs="Arial"/>
        </w:rPr>
      </w:pPr>
      <w:r w:rsidRPr="003F2286">
        <w:t xml:space="preserve">The concept of a logical channel group (LCG) was included in LTE to reduce the </w:t>
      </w:r>
      <w:r w:rsidRPr="00370650">
        <w:t xml:space="preserve">BSR signalling overhead in case a UE </w:t>
      </w:r>
      <w:r>
        <w:t>have many</w:t>
      </w:r>
      <w:r w:rsidRPr="00370650">
        <w:t xml:space="preserve"> radio bearers</w:t>
      </w:r>
      <w:r>
        <w:t xml:space="preserve"> established</w:t>
      </w:r>
      <w:r w:rsidRPr="00370650">
        <w:t xml:space="preserve"> simultaneously. </w:t>
      </w:r>
      <w:r>
        <w:t xml:space="preserve">Currently </w:t>
      </w:r>
      <w:r w:rsidRPr="00370650">
        <w:t xml:space="preserve">up to </w:t>
      </w:r>
      <w:r>
        <w:t>four</w:t>
      </w:r>
      <w:r w:rsidRPr="00370650">
        <w:t xml:space="preserve"> LCGs can be supported per UE</w:t>
      </w:r>
      <w:r>
        <w:t xml:space="preserve"> in LTE and it has been agreed that NR shall support up to eight LCGs</w:t>
      </w:r>
      <w:r w:rsidRPr="00370650">
        <w:t xml:space="preserve">. The grouping of radio bearers </w:t>
      </w:r>
      <w:r w:rsidRPr="00370650">
        <w:rPr>
          <w:rFonts w:cs="Arial"/>
        </w:rPr>
        <w:t>(or logical channel</w:t>
      </w:r>
      <w:r>
        <w:rPr>
          <w:rFonts w:cs="Arial"/>
        </w:rPr>
        <w:t>s</w:t>
      </w:r>
      <w:r w:rsidRPr="00370650">
        <w:rPr>
          <w:rFonts w:cs="Arial"/>
        </w:rPr>
        <w:t>)</w:t>
      </w:r>
      <w:r w:rsidRPr="003F2286">
        <w:t xml:space="preserve"> is established </w:t>
      </w:r>
      <w:r w:rsidRPr="00370650">
        <w:rPr>
          <w:rFonts w:cs="Arial"/>
        </w:rPr>
        <w:t xml:space="preserve">at radio bearer setup by the </w:t>
      </w:r>
      <w:r>
        <w:rPr>
          <w:rFonts w:cs="Arial"/>
        </w:rPr>
        <w:t>g</w:t>
      </w:r>
      <w:r w:rsidRPr="00370650">
        <w:rPr>
          <w:rFonts w:cs="Arial"/>
        </w:rPr>
        <w:t xml:space="preserve">NB based on QoS attributes of the radio bearers such as QoS Class Identifier (QCI). </w:t>
      </w:r>
      <w:r>
        <w:rPr>
          <w:rFonts w:cs="Arial"/>
        </w:rPr>
        <w:t>It has been agreed that NR reuses LTE BSR framework as the baseline,</w:t>
      </w:r>
      <w:r w:rsidRPr="00370650">
        <w:rPr>
          <w:rFonts w:cs="Arial"/>
        </w:rPr>
        <w:t xml:space="preserve"> </w:t>
      </w:r>
      <w:r>
        <w:rPr>
          <w:rFonts w:cs="Arial"/>
        </w:rPr>
        <w:t xml:space="preserve">in other words, NR BSR is also triggered per LCG. </w:t>
      </w:r>
    </w:p>
    <w:p w14:paraId="5A492F48" w14:textId="65D9B77F" w:rsidR="004E26E3" w:rsidRDefault="004E26E3" w:rsidP="0083669F">
      <w:pPr>
        <w:pStyle w:val="Observation"/>
      </w:pPr>
      <w:bookmarkStart w:id="57" w:name="_Toc487461302"/>
      <w:bookmarkStart w:id="58" w:name="_Toc489623477"/>
      <w:bookmarkStart w:id="59" w:name="_Toc490211997"/>
      <w:bookmarkStart w:id="60" w:name="_Toc490215204"/>
      <w:bookmarkStart w:id="61" w:name="_Toc490230610"/>
      <w:bookmarkStart w:id="62" w:name="_Toc490230633"/>
      <w:r>
        <w:rPr>
          <w:rFonts w:cs="Arial"/>
        </w:rPr>
        <w:t>NR BSR is also triggered per LCG</w:t>
      </w:r>
      <w:bookmarkEnd w:id="57"/>
      <w:bookmarkEnd w:id="58"/>
      <w:r w:rsidR="00EA65CA">
        <w:rPr>
          <w:rFonts w:cs="Arial"/>
        </w:rPr>
        <w:t>.</w:t>
      </w:r>
      <w:bookmarkEnd w:id="59"/>
      <w:bookmarkEnd w:id="60"/>
      <w:bookmarkEnd w:id="61"/>
      <w:bookmarkEnd w:id="62"/>
    </w:p>
    <w:p w14:paraId="7ADED8A5" w14:textId="5A38EC78" w:rsidR="0083669F" w:rsidRDefault="0083669F" w:rsidP="0083669F">
      <w:r>
        <w:t>With more LCGs, the long BSR format of LTE, carries only up to 4 LCGs and will not be able to accommodate all LCGs buffer status in NR. Neither can the short BSR be reused since at least three bits will be needed to ID the LCGs and thereby leaving only 5 bits for the BSR which is inadequate.</w:t>
      </w:r>
    </w:p>
    <w:p w14:paraId="29FBE2AA" w14:textId="349C4DCA" w:rsidR="004E26E3" w:rsidRPr="00646C5D" w:rsidRDefault="004E26E3" w:rsidP="004E26E3">
      <w:pPr>
        <w:pStyle w:val="Observation"/>
      </w:pPr>
      <w:bookmarkStart w:id="63" w:name="_Toc487448860"/>
      <w:bookmarkStart w:id="64" w:name="_Toc487451223"/>
      <w:bookmarkStart w:id="65" w:name="_Toc487461303"/>
      <w:bookmarkStart w:id="66" w:name="_Toc489623478"/>
      <w:bookmarkStart w:id="67" w:name="_Toc490211998"/>
      <w:bookmarkStart w:id="68" w:name="_Toc490215205"/>
      <w:bookmarkStart w:id="69" w:name="_Toc490230611"/>
      <w:bookmarkStart w:id="70" w:name="_Toc490230634"/>
      <w:r>
        <w:t xml:space="preserve">In NR, the LTE BSR formats must be updated to effectively accommodate </w:t>
      </w:r>
      <w:r w:rsidR="00E47605">
        <w:t xml:space="preserve">BSs for </w:t>
      </w:r>
      <w:r>
        <w:t>up to eight LCGs</w:t>
      </w:r>
      <w:bookmarkEnd w:id="63"/>
      <w:bookmarkEnd w:id="64"/>
      <w:bookmarkEnd w:id="65"/>
      <w:bookmarkEnd w:id="66"/>
      <w:r w:rsidR="00EA65CA">
        <w:t>.</w:t>
      </w:r>
      <w:bookmarkEnd w:id="67"/>
      <w:bookmarkEnd w:id="68"/>
      <w:bookmarkEnd w:id="69"/>
      <w:bookmarkEnd w:id="70"/>
    </w:p>
    <w:p w14:paraId="63DCF5BE" w14:textId="62E58043" w:rsidR="00AF1205" w:rsidRDefault="00AF1205" w:rsidP="00AF1205">
      <w:r>
        <w:lastRenderedPageBreak/>
        <w:t>LTE supports</w:t>
      </w:r>
      <w:r w:rsidRPr="00AF1205">
        <w:t xml:space="preserve"> 3 types of BSR</w:t>
      </w:r>
      <w:r>
        <w:t>s</w:t>
      </w:r>
      <w:r w:rsidRPr="00AF1205">
        <w:t xml:space="preserve"> </w:t>
      </w:r>
      <w:r>
        <w:t xml:space="preserve">including </w:t>
      </w:r>
      <w:r w:rsidRPr="00AF1205">
        <w:t xml:space="preserve">Regular BSR, Periodic BSR </w:t>
      </w:r>
      <w:r>
        <w:t>as well as</w:t>
      </w:r>
      <w:r w:rsidRPr="00AF1205">
        <w:t xml:space="preserve"> Padding BSR. </w:t>
      </w:r>
      <w:r w:rsidR="00ED6AEF" w:rsidRPr="006846AE">
        <w:rPr>
          <w:noProof/>
        </w:rPr>
        <w:t>For P</w:t>
      </w:r>
      <w:r w:rsidR="00ED6AEF">
        <w:rPr>
          <w:noProof/>
        </w:rPr>
        <w:t xml:space="preserve">adding BSR, </w:t>
      </w:r>
      <w:r w:rsidR="00ED6AEF" w:rsidRPr="00ED6AEF">
        <w:rPr>
          <w:noProof/>
        </w:rPr>
        <w:t xml:space="preserve">if more than one LCG has data </w:t>
      </w:r>
      <w:r w:rsidR="00ED6AEF" w:rsidRPr="00ED6AEF">
        <w:rPr>
          <w:noProof/>
          <w:lang w:eastAsia="zh-TW"/>
        </w:rPr>
        <w:t xml:space="preserve">available for transmission </w:t>
      </w:r>
      <w:r w:rsidR="00ED6AEF" w:rsidRPr="00ED6AEF">
        <w:rPr>
          <w:noProof/>
        </w:rPr>
        <w:t>in the TTI</w:t>
      </w:r>
      <w:r w:rsidR="00ED6AEF">
        <w:rPr>
          <w:noProof/>
        </w:rPr>
        <w:t xml:space="preserve">, a </w:t>
      </w:r>
      <w:r w:rsidR="00ED6AEF" w:rsidRPr="00ED6AEF">
        <w:rPr>
          <w:noProof/>
        </w:rPr>
        <w:t xml:space="preserve"> Truncated BSR </w:t>
      </w:r>
      <w:r w:rsidR="00ED6AEF">
        <w:rPr>
          <w:noProof/>
        </w:rPr>
        <w:t xml:space="preserve">can be used which comprises BS </w:t>
      </w:r>
      <w:r w:rsidR="00ED6AEF" w:rsidRPr="00ED6AEF">
        <w:rPr>
          <w:noProof/>
        </w:rPr>
        <w:t>of the LCG with the highest priority logical channel with data available for transmission</w:t>
      </w:r>
      <w:r w:rsidR="00ED6AEF">
        <w:rPr>
          <w:noProof/>
        </w:rPr>
        <w:t xml:space="preserve">. </w:t>
      </w:r>
      <w:r w:rsidR="00ED6AEF">
        <w:t>Different types of BSRs</w:t>
      </w:r>
      <w:r>
        <w:t xml:space="preserve"> are</w:t>
      </w:r>
      <w:r w:rsidRPr="00AF1205">
        <w:t xml:space="preserve"> applicable to different use cases</w:t>
      </w:r>
      <w:r>
        <w:t>. These use cases are still valid for NR.</w:t>
      </w:r>
      <w:r w:rsidRPr="00AF1205">
        <w:t xml:space="preserve"> </w:t>
      </w:r>
      <w:r>
        <w:t xml:space="preserve"> Therefore, </w:t>
      </w:r>
      <w:r w:rsidRPr="00AF1205">
        <w:t>NR</w:t>
      </w:r>
      <w:r w:rsidR="00DC48AD">
        <w:t xml:space="preserve"> shall support all </w:t>
      </w:r>
      <w:r w:rsidR="00ED6AEF">
        <w:t>three types of BSRs as like LTE</w:t>
      </w:r>
      <w:r w:rsidRPr="00AF1205">
        <w:t xml:space="preserve">. </w:t>
      </w:r>
    </w:p>
    <w:p w14:paraId="522A300C" w14:textId="1F2A0E50" w:rsidR="0083669F" w:rsidRDefault="00ED6AEF" w:rsidP="00ED6AEF">
      <w:pPr>
        <w:pStyle w:val="Proposal"/>
      </w:pPr>
      <w:bookmarkStart w:id="71" w:name="_Toc485049643"/>
      <w:bookmarkStart w:id="72" w:name="_Toc485050483"/>
      <w:bookmarkStart w:id="73" w:name="_Toc485184596"/>
      <w:bookmarkStart w:id="74" w:name="_Toc485309501"/>
      <w:bookmarkStart w:id="75" w:name="_Toc485391429"/>
      <w:bookmarkStart w:id="76" w:name="_Toc487461262"/>
      <w:bookmarkStart w:id="77" w:name="_Toc487464644"/>
      <w:bookmarkStart w:id="78" w:name="_Toc487467197"/>
      <w:bookmarkStart w:id="79" w:name="_Toc489623480"/>
      <w:bookmarkStart w:id="80" w:name="_Toc490212000"/>
      <w:bookmarkStart w:id="81" w:name="_Toc490213977"/>
      <w:bookmarkStart w:id="82" w:name="_Toc490215229"/>
      <w:bookmarkStart w:id="83" w:name="_Toc490215456"/>
      <w:bookmarkStart w:id="84" w:name="_Toc490216254"/>
      <w:bookmarkStart w:id="85" w:name="_Toc490223927"/>
      <w:bookmarkStart w:id="86" w:name="_Toc490230613"/>
      <w:bookmarkStart w:id="87" w:name="_Toc490230627"/>
      <w:r w:rsidRPr="00AF1205">
        <w:t xml:space="preserve">NR </w:t>
      </w:r>
      <w:r>
        <w:t xml:space="preserve">supports 3 types of BSRs </w:t>
      </w:r>
      <w:r w:rsidRPr="00AF1205">
        <w:t>includi</w:t>
      </w:r>
      <w:r>
        <w:t>ng</w:t>
      </w:r>
      <w:r w:rsidRPr="00AF1205">
        <w:t xml:space="preserve"> Regular BSR, Periodic BSR and Padding BSR</w:t>
      </w:r>
      <w:bookmarkEnd w:id="71"/>
      <w:bookmarkEnd w:id="72"/>
      <w:bookmarkEnd w:id="73"/>
      <w:bookmarkEnd w:id="74"/>
      <w:bookmarkEnd w:id="75"/>
      <w:bookmarkEnd w:id="76"/>
      <w:bookmarkEnd w:id="77"/>
      <w:bookmarkEnd w:id="78"/>
      <w:bookmarkEnd w:id="79"/>
      <w:r w:rsidR="00EA65CA">
        <w:t>.</w:t>
      </w:r>
      <w:bookmarkEnd w:id="80"/>
      <w:bookmarkEnd w:id="81"/>
      <w:bookmarkEnd w:id="82"/>
      <w:bookmarkEnd w:id="83"/>
      <w:bookmarkEnd w:id="84"/>
      <w:bookmarkEnd w:id="85"/>
      <w:bookmarkEnd w:id="86"/>
      <w:bookmarkEnd w:id="87"/>
    </w:p>
    <w:p w14:paraId="0E530E31" w14:textId="1876251C" w:rsidR="00C47537" w:rsidRDefault="00967698" w:rsidP="00C47537">
      <w:r>
        <w:t xml:space="preserve">Meanwhile, LTE has defined 3 BSR </w:t>
      </w:r>
      <w:r w:rsidR="00C47537">
        <w:t xml:space="preserve">formats </w:t>
      </w:r>
      <w:r>
        <w:t xml:space="preserve">for different purposes, including short BSR, </w:t>
      </w:r>
      <w:r w:rsidR="00C47537">
        <w:t xml:space="preserve">long BSR and truncated BSR. </w:t>
      </w:r>
      <w:r w:rsidR="00C47537" w:rsidRPr="00AF1205">
        <w:t>NR</w:t>
      </w:r>
      <w:r w:rsidR="00C47537">
        <w:t xml:space="preserve"> shall support all three formats of BSRs as like LTE</w:t>
      </w:r>
      <w:r w:rsidR="00C47537" w:rsidRPr="00AF1205">
        <w:t xml:space="preserve">. </w:t>
      </w:r>
    </w:p>
    <w:p w14:paraId="7A5F64E0" w14:textId="55C3CAEC" w:rsidR="00C47537" w:rsidRDefault="00C47537" w:rsidP="00C47537">
      <w:pPr>
        <w:pStyle w:val="Proposal"/>
      </w:pPr>
      <w:bookmarkStart w:id="88" w:name="_Toc490215230"/>
      <w:bookmarkStart w:id="89" w:name="_Toc490215457"/>
      <w:bookmarkStart w:id="90" w:name="_Toc490216255"/>
      <w:bookmarkStart w:id="91" w:name="_Toc490223928"/>
      <w:bookmarkStart w:id="92" w:name="_Toc490230614"/>
      <w:bookmarkStart w:id="93" w:name="_Toc490230628"/>
      <w:r w:rsidRPr="00AF1205">
        <w:t xml:space="preserve">NR </w:t>
      </w:r>
      <w:r>
        <w:t xml:space="preserve">supports short, </w:t>
      </w:r>
      <w:r w:rsidR="00D80919">
        <w:t>long,</w:t>
      </w:r>
      <w:r>
        <w:t xml:space="preserve"> and truncated </w:t>
      </w:r>
      <w:r w:rsidRPr="00AF1205">
        <w:t>BSR</w:t>
      </w:r>
      <w:r>
        <w:t xml:space="preserve"> formats as like LTE</w:t>
      </w:r>
      <w:bookmarkEnd w:id="88"/>
      <w:bookmarkEnd w:id="89"/>
      <w:bookmarkEnd w:id="90"/>
      <w:bookmarkEnd w:id="91"/>
      <w:bookmarkEnd w:id="92"/>
      <w:bookmarkEnd w:id="93"/>
    </w:p>
    <w:p w14:paraId="73039085" w14:textId="3268758A" w:rsidR="00870008" w:rsidRDefault="00870008" w:rsidP="00870008">
      <w:pPr>
        <w:pStyle w:val="Heading2"/>
      </w:pPr>
      <w:r>
        <w:t>Updated BSR formats</w:t>
      </w:r>
    </w:p>
    <w:p w14:paraId="6C71FA5C" w14:textId="613E2907" w:rsidR="00830A45" w:rsidRPr="00830A45" w:rsidRDefault="00830A45" w:rsidP="00830A45">
      <w:pPr>
        <w:pStyle w:val="Heading3"/>
      </w:pPr>
      <w:r>
        <w:t>Short BSR format</w:t>
      </w:r>
    </w:p>
    <w:p w14:paraId="6CBB31BD" w14:textId="6D212E9B" w:rsidR="003A49A8" w:rsidRDefault="00830A45" w:rsidP="00830A45">
      <w:r>
        <w:t>In LTE, two bits are used to indicate the LCG Id when using the short BSR format. The agreement of extending the number of LCGs up to eight will require 3 bits to uniquely identify the LCG</w:t>
      </w:r>
      <w:r w:rsidR="00552848">
        <w:t>.</w:t>
      </w:r>
      <w:r>
        <w:t xml:space="preserve"> </w:t>
      </w:r>
      <w:r w:rsidR="003A49A8">
        <w:t xml:space="preserve">There are two </w:t>
      </w:r>
      <w:r w:rsidR="00BF4944">
        <w:t xml:space="preserve">options </w:t>
      </w:r>
      <w:r w:rsidR="003A49A8">
        <w:t>to update the short BSR format accordingly.</w:t>
      </w:r>
    </w:p>
    <w:p w14:paraId="30F48FFD" w14:textId="448C85EA" w:rsidR="00BF4944" w:rsidRDefault="00F67708" w:rsidP="00F67708">
      <w:r>
        <w:t xml:space="preserve">In the </w:t>
      </w:r>
      <w:r w:rsidR="0031754D">
        <w:t>first</w:t>
      </w:r>
      <w:r>
        <w:t xml:space="preserve"> </w:t>
      </w:r>
      <w:r w:rsidR="00BF4944">
        <w:t>option</w:t>
      </w:r>
      <w:r>
        <w:t>,</w:t>
      </w:r>
      <w:r w:rsidR="00BF4944">
        <w:t xml:space="preserve"> as shown in Figure 1, t</w:t>
      </w:r>
      <w:r>
        <w:t>he size of BS field can be decreased to 5 bits, to keep the short BSR as 1-byte long</w:t>
      </w:r>
      <w:r w:rsidR="00BC4948">
        <w:t xml:space="preserve"> as like LTE</w:t>
      </w:r>
      <w:r>
        <w:t>. This would mean fewer levels of granularity for BS</w:t>
      </w:r>
      <w:r w:rsidR="00BC4948">
        <w:t xml:space="preserve">. </w:t>
      </w:r>
      <w:r w:rsidR="00BF4944">
        <w:t>A</w:t>
      </w:r>
      <w:r w:rsidR="00BF4944">
        <w:rPr>
          <w:noProof/>
        </w:rPr>
        <w:t xml:space="preserve"> </w:t>
      </w:r>
      <w:r w:rsidR="003E0AB6">
        <w:rPr>
          <w:noProof/>
        </w:rPr>
        <w:t xml:space="preserve">separate </w:t>
      </w:r>
      <w:r w:rsidR="00BF4944">
        <w:rPr>
          <w:noProof/>
        </w:rPr>
        <w:t>new BS value needs to be defined correspondingly</w:t>
      </w:r>
      <w:r>
        <w:t>.</w:t>
      </w:r>
    </w:p>
    <w:p w14:paraId="6094256A" w14:textId="6DEB3C49" w:rsidR="00F67708" w:rsidRDefault="009C1079" w:rsidP="009770FD">
      <w:pPr>
        <w:jc w:val="center"/>
      </w:pPr>
      <w:r>
        <w:rPr>
          <w:noProof/>
          <w:lang w:eastAsia="ja-JP"/>
        </w:rPr>
        <w:drawing>
          <wp:inline distT="0" distB="0" distL="0" distR="0" wp14:anchorId="7424B592" wp14:editId="5188854F">
            <wp:extent cx="2600960" cy="794541"/>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1801" cy="797853"/>
                    </a:xfrm>
                    <a:prstGeom prst="rect">
                      <a:avLst/>
                    </a:prstGeom>
                    <a:noFill/>
                  </pic:spPr>
                </pic:pic>
              </a:graphicData>
            </a:graphic>
          </wp:inline>
        </w:drawing>
      </w:r>
    </w:p>
    <w:p w14:paraId="1F1F5B26" w14:textId="53924140" w:rsidR="00BF4944" w:rsidRDefault="00BF4944" w:rsidP="009770FD">
      <w:pPr>
        <w:pStyle w:val="Caption"/>
      </w:pPr>
      <w:r>
        <w:t>Figure 1. Format of short BSR (option 1)</w:t>
      </w:r>
    </w:p>
    <w:p w14:paraId="697EEDE2" w14:textId="43A3C7FB" w:rsidR="00552848" w:rsidRDefault="003A49A8" w:rsidP="00830A45">
      <w:r>
        <w:t xml:space="preserve">In the </w:t>
      </w:r>
      <w:r w:rsidR="00D14883">
        <w:t xml:space="preserve">second option, </w:t>
      </w:r>
      <w:r w:rsidR="008D1E17">
        <w:t xml:space="preserve">as shown in Figure 2, </w:t>
      </w:r>
      <w:r>
        <w:t>t</w:t>
      </w:r>
      <w:r w:rsidR="00552848">
        <w:t>ogether with the new size of BS field</w:t>
      </w:r>
      <w:r w:rsidR="008D1E17">
        <w:t>, i.e., 1-byte long</w:t>
      </w:r>
      <w:r w:rsidR="00552848">
        <w:t>, the</w:t>
      </w:r>
      <w:r w:rsidR="00830A45">
        <w:t xml:space="preserve"> </w:t>
      </w:r>
      <w:r w:rsidR="00552848">
        <w:t xml:space="preserve">size of </w:t>
      </w:r>
      <w:r w:rsidR="00830A45">
        <w:t xml:space="preserve">short BSR </w:t>
      </w:r>
      <w:r w:rsidR="00276D3A">
        <w:t>is</w:t>
      </w:r>
      <w:r w:rsidR="00552848">
        <w:t xml:space="preserve"> increased to</w:t>
      </w:r>
      <w:r w:rsidR="00830A45">
        <w:t xml:space="preserve"> 2 bytes to maintain the byte alignment</w:t>
      </w:r>
      <w:r w:rsidR="00552848">
        <w:t>.</w:t>
      </w:r>
      <w:r w:rsidR="00552848" w:rsidRPr="00552848">
        <w:t xml:space="preserve"> </w:t>
      </w:r>
      <w:r w:rsidR="00552848">
        <w:t>However, there are still leave 5 bits unused. These bits could e.g. be used to further extend the granularity of the BS in future releases.</w:t>
      </w:r>
    </w:p>
    <w:p w14:paraId="7E0A5E98" w14:textId="67168ACC" w:rsidR="008D1E17" w:rsidRDefault="009C1079" w:rsidP="009770FD">
      <w:pPr>
        <w:jc w:val="center"/>
      </w:pPr>
      <w:r>
        <w:rPr>
          <w:noProof/>
          <w:lang w:eastAsia="ja-JP"/>
        </w:rPr>
        <w:drawing>
          <wp:inline distT="0" distB="0" distL="0" distR="0" wp14:anchorId="02CB55BF" wp14:editId="6D1FBD46">
            <wp:extent cx="2565400" cy="1231088"/>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0978" cy="1243363"/>
                    </a:xfrm>
                    <a:prstGeom prst="rect">
                      <a:avLst/>
                    </a:prstGeom>
                    <a:noFill/>
                  </pic:spPr>
                </pic:pic>
              </a:graphicData>
            </a:graphic>
          </wp:inline>
        </w:drawing>
      </w:r>
    </w:p>
    <w:p w14:paraId="50B2B083" w14:textId="703048A9" w:rsidR="008D1E17" w:rsidRDefault="008D1E17" w:rsidP="009770FD">
      <w:pPr>
        <w:pStyle w:val="Caption"/>
      </w:pPr>
      <w:r>
        <w:t>Figure 2. Format of short BSR (option 2)</w:t>
      </w:r>
    </w:p>
    <w:p w14:paraId="0935E9A5" w14:textId="37D968DF" w:rsidR="008D1E17" w:rsidRDefault="008D1E17" w:rsidP="008D1E17">
      <w:pPr>
        <w:rPr>
          <w:noProof/>
        </w:rPr>
      </w:pPr>
      <w:r>
        <w:rPr>
          <w:noProof/>
        </w:rPr>
        <w:t xml:space="preserve">Between the two options, we think Option </w:t>
      </w:r>
      <w:r w:rsidR="007033F9">
        <w:rPr>
          <w:noProof/>
        </w:rPr>
        <w:t>1</w:t>
      </w:r>
      <w:r>
        <w:rPr>
          <w:noProof/>
        </w:rPr>
        <w:t xml:space="preserve"> is a better choice. It </w:t>
      </w:r>
      <w:r w:rsidR="003E0AB6">
        <w:rPr>
          <w:noProof/>
        </w:rPr>
        <w:t xml:space="preserve">is advantageous to keep the same size of </w:t>
      </w:r>
      <w:r>
        <w:rPr>
          <w:noProof/>
        </w:rPr>
        <w:t xml:space="preserve"> </w:t>
      </w:r>
      <w:r w:rsidR="003E0AB6">
        <w:rPr>
          <w:noProof/>
        </w:rPr>
        <w:t>the short BSR as LTE, and don’t introduce additional overhead. This is especially useful when there is a small grant received</w:t>
      </w:r>
      <w:r w:rsidR="00EA65CA">
        <w:rPr>
          <w:noProof/>
        </w:rPr>
        <w:t>, e.g. during random access with a UE on the cell border</w:t>
      </w:r>
      <w:r>
        <w:rPr>
          <w:noProof/>
        </w:rPr>
        <w:t xml:space="preserve">.  </w:t>
      </w:r>
      <w:r w:rsidR="00D84891">
        <w:rPr>
          <w:noProof/>
        </w:rPr>
        <w:t>It is also worth to note that the size of BS field in short BSR would be 5 bits, this give fewer granularities compared to that in LTE. This is acceptable since the short BSR is typically triggered when there is a small grant, the granularity of BS is less important compared to the bits saving.</w:t>
      </w:r>
    </w:p>
    <w:p w14:paraId="566EE873" w14:textId="59D80BFB" w:rsidR="005472F4" w:rsidRPr="009770FD" w:rsidRDefault="00FB78A9" w:rsidP="00DC5570">
      <w:pPr>
        <w:pStyle w:val="Proposal"/>
      </w:pPr>
      <w:bookmarkStart w:id="94" w:name="_Toc489623483"/>
      <w:bookmarkStart w:id="95" w:name="_Toc490213980"/>
      <w:bookmarkStart w:id="96" w:name="_Toc490215232"/>
      <w:bookmarkStart w:id="97" w:name="_Toc490215459"/>
      <w:bookmarkStart w:id="98" w:name="_Toc490216256"/>
      <w:bookmarkStart w:id="99" w:name="_Toc490223930"/>
      <w:bookmarkStart w:id="100" w:name="_Toc490230616"/>
      <w:bookmarkStart w:id="101" w:name="_Toc489623484"/>
      <w:bookmarkStart w:id="102" w:name="_Toc490212003"/>
      <w:bookmarkStart w:id="103" w:name="_Toc490230629"/>
      <w:bookmarkEnd w:id="94"/>
      <w:r>
        <w:rPr>
          <w:lang w:val="en-US"/>
        </w:rPr>
        <w:t xml:space="preserve">The short BSR </w:t>
      </w:r>
      <w:r w:rsidR="00EA65CA">
        <w:rPr>
          <w:lang w:val="en-US"/>
        </w:rPr>
        <w:t>is 1 byte</w:t>
      </w:r>
      <w:r>
        <w:rPr>
          <w:lang w:val="en-US"/>
        </w:rPr>
        <w:t xml:space="preserve">, </w:t>
      </w:r>
      <w:r w:rsidR="00EA65CA">
        <w:rPr>
          <w:lang w:val="en-US"/>
        </w:rPr>
        <w:t>consisting of a 3-bit LCG ID field and a 5-bit BS field.</w:t>
      </w:r>
      <w:bookmarkEnd w:id="95"/>
      <w:bookmarkEnd w:id="96"/>
      <w:bookmarkEnd w:id="97"/>
      <w:bookmarkEnd w:id="98"/>
      <w:bookmarkEnd w:id="99"/>
      <w:bookmarkEnd w:id="100"/>
      <w:bookmarkEnd w:id="101"/>
      <w:bookmarkEnd w:id="102"/>
      <w:bookmarkEnd w:id="103"/>
    </w:p>
    <w:p w14:paraId="52799ACB" w14:textId="483CACFC" w:rsidR="004F3C01" w:rsidRDefault="004F3C01" w:rsidP="009770FD">
      <w:pPr>
        <w:pStyle w:val="Proposal"/>
        <w:numPr>
          <w:ilvl w:val="0"/>
          <w:numId w:val="0"/>
        </w:numPr>
        <w:ind w:left="1701"/>
      </w:pPr>
    </w:p>
    <w:p w14:paraId="7CA73909" w14:textId="077E17D3" w:rsidR="00830A45" w:rsidRDefault="00830A45" w:rsidP="00830A45">
      <w:pPr>
        <w:pStyle w:val="Heading3"/>
      </w:pPr>
      <w:r>
        <w:t>Long BSR format</w:t>
      </w:r>
    </w:p>
    <w:p w14:paraId="7BB181A5" w14:textId="4124A36F" w:rsidR="00C47537" w:rsidRDefault="00154AAA" w:rsidP="00774E39">
      <w:pPr>
        <w:rPr>
          <w:noProof/>
        </w:rPr>
      </w:pPr>
      <w:r>
        <w:t xml:space="preserve">In LTE, the long BSR include four BS fields </w:t>
      </w:r>
      <w:r w:rsidRPr="006846AE">
        <w:rPr>
          <w:noProof/>
        </w:rPr>
        <w:t>corresponding to LCG IDs #0 through #3</w:t>
      </w:r>
      <w:r>
        <w:t>. All UEs that have</w:t>
      </w:r>
      <w:r w:rsidRPr="006846AE">
        <w:rPr>
          <w:noProof/>
        </w:rPr>
        <w:t xml:space="preserve"> more than one LCG </w:t>
      </w:r>
      <w:r w:rsidR="00EA65CA">
        <w:rPr>
          <w:noProof/>
        </w:rPr>
        <w:t xml:space="preserve">with </w:t>
      </w:r>
      <w:r w:rsidRPr="006846AE">
        <w:rPr>
          <w:noProof/>
        </w:rPr>
        <w:t>data available for transmission in the TTI w</w:t>
      </w:r>
      <w:r>
        <w:rPr>
          <w:noProof/>
        </w:rPr>
        <w:t>here the BSR is transmitted must</w:t>
      </w:r>
      <w:r w:rsidRPr="006846AE">
        <w:rPr>
          <w:noProof/>
        </w:rPr>
        <w:t xml:space="preserve"> report Long BSR</w:t>
      </w:r>
      <w:r>
        <w:rPr>
          <w:noProof/>
        </w:rPr>
        <w:t xml:space="preserve"> regardless whether they have data availble for all four LCGs.</w:t>
      </w:r>
      <w:r w:rsidR="00774E39">
        <w:rPr>
          <w:noProof/>
        </w:rPr>
        <w:t xml:space="preserve"> This may lead to </w:t>
      </w:r>
      <w:r w:rsidR="00084864">
        <w:rPr>
          <w:noProof/>
        </w:rPr>
        <w:t>redundant</w:t>
      </w:r>
      <w:r w:rsidR="00774E39">
        <w:rPr>
          <w:noProof/>
        </w:rPr>
        <w:t xml:space="preserve"> BSR</w:t>
      </w:r>
      <w:r w:rsidR="00084864">
        <w:rPr>
          <w:noProof/>
        </w:rPr>
        <w:t>s</w:t>
      </w:r>
      <w:r w:rsidR="00774E39">
        <w:rPr>
          <w:noProof/>
        </w:rPr>
        <w:t xml:space="preserve"> </w:t>
      </w:r>
      <w:r w:rsidR="00774E39">
        <w:t xml:space="preserve">especially </w:t>
      </w:r>
      <w:r w:rsidR="00774E39">
        <w:lastRenderedPageBreak/>
        <w:t>for UEs with limited uplink connection</w:t>
      </w:r>
      <w:r w:rsidR="00774E39">
        <w:rPr>
          <w:noProof/>
        </w:rPr>
        <w:t xml:space="preserve">, in fact, the UEs </w:t>
      </w:r>
      <w:r w:rsidR="00084864">
        <w:rPr>
          <w:noProof/>
        </w:rPr>
        <w:t>may have fewer LCHs/LCGs (less than four)) that need to be configured.</w:t>
      </w:r>
    </w:p>
    <w:p w14:paraId="4CEC59C6" w14:textId="26A72DDE" w:rsidR="00DB4968" w:rsidRDefault="00C47537" w:rsidP="00DB4968">
      <w:r>
        <w:t xml:space="preserve">It is further noted that 6 bits may not be </w:t>
      </w:r>
      <w:r w:rsidR="000B5262">
        <w:t>sufficient</w:t>
      </w:r>
      <w:r>
        <w:t xml:space="preserve"> to convey a buffer status with the granularity required for the wide range of services expected to be support by NR. The prime targets of NR include extreme MBB rates (10 Gbps), but also much lower rates e.g. from less extreme MBB or URLLC, and moreover an increased mix of high and low rate services. This could make the buffer sizes for the different LCGs to change rapidly and an increased granularity of the buffer sizes would be of great benefit for the scheduler. One way</w:t>
      </w:r>
      <w:r w:rsidRPr="0075520D">
        <w:t xml:space="preserve"> to encode such granularity would be to byte-align the fi</w:t>
      </w:r>
      <w:r>
        <w:t>elds and thereby simply extend</w:t>
      </w:r>
      <w:r w:rsidRPr="0075520D">
        <w:t xml:space="preserve"> the size of the Buffer Status field to 8 bits</w:t>
      </w:r>
      <w:r>
        <w:t xml:space="preserve">. </w:t>
      </w:r>
      <w:r w:rsidR="00703330">
        <w:t>For the long BSR format, it is suggested to increase BS field to 8 bits, which is not contradict with the BS field with 5 bits for short BSR. The long BSR is typically triggered when there is a sufficient grant, in this case, the accuracy of the BS report is more important.</w:t>
      </w:r>
    </w:p>
    <w:p w14:paraId="223CD2E7" w14:textId="0E0064F4" w:rsidR="00DB4968" w:rsidRPr="008B26F5" w:rsidRDefault="00DB4968" w:rsidP="00DB4968">
      <w:pPr>
        <w:pStyle w:val="Proposal"/>
      </w:pPr>
      <w:bookmarkStart w:id="104" w:name="_Toc490215234"/>
      <w:bookmarkStart w:id="105" w:name="_Toc490215461"/>
      <w:bookmarkStart w:id="106" w:name="_Toc490230617"/>
      <w:bookmarkStart w:id="107" w:name="_Toc490223932"/>
      <w:bookmarkStart w:id="108" w:name="_Toc490230630"/>
      <w:bookmarkStart w:id="109" w:name="_Toc490216258"/>
      <w:r w:rsidRPr="00DB4968">
        <w:rPr>
          <w:lang w:val="en-US"/>
        </w:rPr>
        <w:t>The long BSR has a 1 byte BS field</w:t>
      </w:r>
      <w:r>
        <w:rPr>
          <w:lang w:val="en-US"/>
        </w:rPr>
        <w:t xml:space="preserve"> for each reported LC</w:t>
      </w:r>
      <w:r w:rsidR="00024D88">
        <w:rPr>
          <w:lang w:val="en-US"/>
        </w:rPr>
        <w:t xml:space="preserve">G </w:t>
      </w:r>
      <w:r>
        <w:rPr>
          <w:lang w:val="en-US"/>
        </w:rPr>
        <w:t>ID</w:t>
      </w:r>
      <w:bookmarkEnd w:id="104"/>
      <w:bookmarkEnd w:id="105"/>
      <w:bookmarkEnd w:id="106"/>
      <w:bookmarkEnd w:id="107"/>
      <w:bookmarkEnd w:id="108"/>
    </w:p>
    <w:bookmarkEnd w:id="109"/>
    <w:p w14:paraId="26776ACC" w14:textId="67932035" w:rsidR="00774E39" w:rsidRDefault="00FF02C6" w:rsidP="00774E39">
      <w:pPr>
        <w:rPr>
          <w:noProof/>
        </w:rPr>
      </w:pPr>
      <w:r>
        <w:rPr>
          <w:noProof/>
        </w:rPr>
        <w:t xml:space="preserve">Following the same design principles, the long BSR format in NR would be like what is shown in Figure 3. </w:t>
      </w:r>
      <w:r w:rsidR="00774E39">
        <w:t xml:space="preserve"> </w:t>
      </w:r>
      <w:r>
        <w:t xml:space="preserve">The issue of BSR overhead may become more problematic. </w:t>
      </w:r>
    </w:p>
    <w:p w14:paraId="4E48E39C" w14:textId="359EC380" w:rsidR="00774E39" w:rsidRDefault="00EA65CA" w:rsidP="00774E39">
      <w:pPr>
        <w:pStyle w:val="Observation"/>
      </w:pPr>
      <w:bookmarkStart w:id="110" w:name="_Toc489623479"/>
      <w:bookmarkStart w:id="111" w:name="_Toc490230612"/>
      <w:bookmarkStart w:id="112" w:name="_Toc490211999"/>
      <w:bookmarkStart w:id="113" w:name="_Toc490215206"/>
      <w:bookmarkStart w:id="114" w:name="_Toc490230635"/>
      <w:r>
        <w:t>A Long BSR format consisting of one BS field for each of the eight LCGs has unnecessarily large overhead in cases when few LCGs are configured.</w:t>
      </w:r>
      <w:bookmarkEnd w:id="110"/>
      <w:bookmarkEnd w:id="111"/>
      <w:bookmarkEnd w:id="112"/>
      <w:bookmarkEnd w:id="113"/>
      <w:bookmarkEnd w:id="114"/>
    </w:p>
    <w:p w14:paraId="5D50A6CB" w14:textId="77777777" w:rsidR="00774E39" w:rsidRDefault="00774E39" w:rsidP="00774E39">
      <w:pPr>
        <w:jc w:val="center"/>
      </w:pPr>
      <w:r>
        <w:rPr>
          <w:noProof/>
          <w:lang w:eastAsia="ja-JP"/>
        </w:rPr>
        <w:drawing>
          <wp:inline distT="0" distB="0" distL="0" distR="0" wp14:anchorId="13A57D5E" wp14:editId="4EC73E50">
            <wp:extent cx="2676525" cy="207645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6525" cy="2076450"/>
                    </a:xfrm>
                    <a:prstGeom prst="rect">
                      <a:avLst/>
                    </a:prstGeom>
                    <a:noFill/>
                    <a:ln>
                      <a:noFill/>
                    </a:ln>
                  </pic:spPr>
                </pic:pic>
              </a:graphicData>
            </a:graphic>
          </wp:inline>
        </w:drawing>
      </w:r>
    </w:p>
    <w:p w14:paraId="7A1BB2C1" w14:textId="1124CC1A" w:rsidR="00774E39" w:rsidRDefault="00774E39" w:rsidP="00774E39">
      <w:pPr>
        <w:pStyle w:val="Caption"/>
      </w:pPr>
      <w:r>
        <w:t>Figure 3. An example of updated long BSR carrying BS fields for 8 LCGs</w:t>
      </w:r>
    </w:p>
    <w:p w14:paraId="6BCB03A2" w14:textId="0EE08748" w:rsidR="00F43DD4" w:rsidRDefault="00F43DD4" w:rsidP="002C1B96">
      <w:r>
        <w:t xml:space="preserve">Considering UEs may have different number of active services/LCHs, NR shall allow the number of LCGs </w:t>
      </w:r>
      <w:r w:rsidR="00AC6633">
        <w:t xml:space="preserve">to be </w:t>
      </w:r>
      <w:r>
        <w:t>configured per UE. Even for the same UE, the number of active services/LCHs may change from time to time. In this way, UEs are not required to be always configured with up to 8 LCGs. Then, a UE only report buffer status for its configured LCGs, which would be less than 8 LCGs, most of the time. The size of a long BSR may be different between UEs. Therefore, we suggest</w:t>
      </w:r>
    </w:p>
    <w:p w14:paraId="34DED94A" w14:textId="195BCA19" w:rsidR="00F43DD4" w:rsidRPr="008B26F5" w:rsidRDefault="00C81AC9" w:rsidP="00F43DD4">
      <w:pPr>
        <w:pStyle w:val="Proposal"/>
      </w:pPr>
      <w:bookmarkStart w:id="115" w:name="_Toc489623487"/>
      <w:bookmarkStart w:id="116" w:name="_Toc490212006"/>
      <w:bookmarkStart w:id="117" w:name="_Toc490213982"/>
      <w:bookmarkStart w:id="118" w:name="_Toc490215235"/>
      <w:bookmarkStart w:id="119" w:name="_Toc490215462"/>
      <w:bookmarkStart w:id="120" w:name="_Toc490216259"/>
      <w:bookmarkStart w:id="121" w:name="_Toc490223933"/>
      <w:bookmarkStart w:id="122" w:name="_Toc490230618"/>
      <w:bookmarkStart w:id="123" w:name="_Toc490230631"/>
      <w:r>
        <w:rPr>
          <w:lang w:val="en-US"/>
        </w:rPr>
        <w:t>T</w:t>
      </w:r>
      <w:r w:rsidR="00071F71">
        <w:rPr>
          <w:lang w:val="en-US"/>
        </w:rPr>
        <w:t xml:space="preserve">he number of LCGs </w:t>
      </w:r>
      <w:r>
        <w:rPr>
          <w:lang w:val="en-US"/>
        </w:rPr>
        <w:t>is configured per UE</w:t>
      </w:r>
      <w:bookmarkEnd w:id="115"/>
      <w:bookmarkEnd w:id="116"/>
      <w:bookmarkEnd w:id="117"/>
      <w:bookmarkEnd w:id="118"/>
      <w:r>
        <w:rPr>
          <w:lang w:val="en-US"/>
        </w:rPr>
        <w:t xml:space="preserve">, </w:t>
      </w:r>
      <w:r w:rsidR="00EE5F14">
        <w:rPr>
          <w:lang w:val="en-US"/>
        </w:rPr>
        <w:t>and</w:t>
      </w:r>
      <w:r>
        <w:rPr>
          <w:lang w:val="en-US"/>
        </w:rPr>
        <w:t xml:space="preserve"> a long BSR can </w:t>
      </w:r>
      <w:r w:rsidR="00786C67">
        <w:rPr>
          <w:lang w:val="en-US"/>
        </w:rPr>
        <w:t>consist of</w:t>
      </w:r>
      <w:r>
        <w:rPr>
          <w:lang w:val="en-US"/>
        </w:rPr>
        <w:t xml:space="preserve"> BSs for less than 8 LCGs</w:t>
      </w:r>
      <w:bookmarkEnd w:id="119"/>
      <w:bookmarkEnd w:id="120"/>
      <w:bookmarkEnd w:id="121"/>
      <w:bookmarkEnd w:id="122"/>
      <w:bookmarkEnd w:id="123"/>
    </w:p>
    <w:p w14:paraId="4E4E02E1" w14:textId="0EBE8357" w:rsidR="001C0488" w:rsidRPr="009770FD" w:rsidRDefault="008A6764" w:rsidP="009770FD">
      <w:r>
        <w:t>As a correspondence, the long BSR format shown in Figure 3 can be updated</w:t>
      </w:r>
      <w:r w:rsidR="00A50A09">
        <w:t xml:space="preserve"> to allow a variable size</w:t>
      </w:r>
      <w:r>
        <w:t>.</w:t>
      </w:r>
      <w:r w:rsidR="00A50A09">
        <w:t xml:space="preserve"> At the same time, the MAC subheader must be also updated to include a L field</w:t>
      </w:r>
      <w:r w:rsidR="00AC6633">
        <w:t xml:space="preserve"> as the MAC CE will be of varying length</w:t>
      </w:r>
      <w:r w:rsidR="00A50A09">
        <w:t>, indicating the actual size of the long BSR.</w:t>
      </w:r>
      <w:r w:rsidR="00C2512B">
        <w:t xml:space="preserve"> Correspondingly, t</w:t>
      </w:r>
      <w:r w:rsidR="00286988" w:rsidRPr="00AA7625">
        <w:t>he L field indicates the number of LCGs that are configured and reported in the long BSR.</w:t>
      </w:r>
      <w:r w:rsidR="004F0F42">
        <w:t xml:space="preserve"> The actual formats are shown in Figure 4.</w:t>
      </w:r>
    </w:p>
    <w:p w14:paraId="787E111E" w14:textId="43CAE362" w:rsidR="00F43DD4" w:rsidRDefault="0074796A" w:rsidP="009770FD">
      <w:pPr>
        <w:jc w:val="center"/>
      </w:pPr>
      <w:r>
        <w:rPr>
          <w:noProof/>
          <w:lang w:eastAsia="ja-JP"/>
        </w:rPr>
        <w:drawing>
          <wp:inline distT="0" distB="0" distL="0" distR="0" wp14:anchorId="5278EBAC" wp14:editId="124AFEE4">
            <wp:extent cx="4785907" cy="1581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92151" cy="1583213"/>
                    </a:xfrm>
                    <a:prstGeom prst="rect">
                      <a:avLst/>
                    </a:prstGeom>
                    <a:noFill/>
                  </pic:spPr>
                </pic:pic>
              </a:graphicData>
            </a:graphic>
          </wp:inline>
        </w:drawing>
      </w:r>
    </w:p>
    <w:p w14:paraId="19BD52CA" w14:textId="50FE0932" w:rsidR="004F0F42" w:rsidRDefault="006912C6" w:rsidP="004F0F42">
      <w:pPr>
        <w:pStyle w:val="Caption"/>
      </w:pPr>
      <w:r w:rsidRPr="00DC5570">
        <w:rPr>
          <w:lang w:val="en-US"/>
        </w:rPr>
        <w:t xml:space="preserve"> </w:t>
      </w:r>
      <w:r w:rsidR="004F0F42">
        <w:t>Figure 4. Formats of the MAC subhead and the long BSR</w:t>
      </w:r>
    </w:p>
    <w:p w14:paraId="1A3E0A44" w14:textId="2224A669" w:rsidR="00830A45" w:rsidRPr="00830A45" w:rsidRDefault="00AC6633" w:rsidP="00830A45">
      <w:pPr>
        <w:pStyle w:val="Heading3"/>
      </w:pPr>
      <w:r>
        <w:lastRenderedPageBreak/>
        <w:t xml:space="preserve">Truncated BSR </w:t>
      </w:r>
      <w:r w:rsidR="00830A45" w:rsidDel="00AC6633">
        <w:t>format</w:t>
      </w:r>
    </w:p>
    <w:p w14:paraId="791D19AE" w14:textId="637AEE0A" w:rsidR="00E0129B" w:rsidRPr="006846AE" w:rsidRDefault="006912C6" w:rsidP="00E0129B">
      <w:pPr>
        <w:rPr>
          <w:noProof/>
        </w:rPr>
      </w:pPr>
      <w:r>
        <w:t xml:space="preserve">In LTE, </w:t>
      </w:r>
      <w:r w:rsidR="00E0129B">
        <w:rPr>
          <w:noProof/>
        </w:rPr>
        <w:t>f</w:t>
      </w:r>
      <w:r w:rsidR="00E0129B" w:rsidRPr="006846AE">
        <w:rPr>
          <w:noProof/>
        </w:rPr>
        <w:t>or Padding BSR:</w:t>
      </w:r>
    </w:p>
    <w:p w14:paraId="6C6F336D" w14:textId="77777777" w:rsidR="00E0129B" w:rsidRPr="006846AE" w:rsidRDefault="00E0129B" w:rsidP="00E0129B">
      <w:pPr>
        <w:pStyle w:val="B1"/>
        <w:rPr>
          <w:noProof/>
        </w:rPr>
      </w:pPr>
      <w:r w:rsidRPr="006846AE">
        <w:rPr>
          <w:noProof/>
        </w:rPr>
        <w:t>-</w:t>
      </w:r>
      <w:r w:rsidRPr="006846AE">
        <w:rPr>
          <w:noProof/>
        </w:rPr>
        <w:tab/>
        <w:t>if the number of padding bits is equal to or larger than the size of the Short BSR plus its subheader but smaller than the size of the Long BSR plus its subheader:</w:t>
      </w:r>
    </w:p>
    <w:p w14:paraId="0114C953" w14:textId="77777777" w:rsidR="00E0129B" w:rsidRPr="006846AE" w:rsidRDefault="00E0129B" w:rsidP="00E0129B">
      <w:pPr>
        <w:pStyle w:val="B2"/>
        <w:rPr>
          <w:noProof/>
        </w:rPr>
      </w:pPr>
      <w:r w:rsidRPr="006846AE">
        <w:rPr>
          <w:noProof/>
        </w:rPr>
        <w:t>-</w:t>
      </w:r>
      <w:r w:rsidRPr="006846AE">
        <w:rPr>
          <w:noProof/>
        </w:rPr>
        <w:tab/>
        <w:t xml:space="preserve">if more than one LCG has data </w:t>
      </w:r>
      <w:r w:rsidRPr="006846AE">
        <w:rPr>
          <w:noProof/>
          <w:lang w:eastAsia="zh-TW"/>
        </w:rPr>
        <w:t xml:space="preserve">available for transmission </w:t>
      </w:r>
      <w:r w:rsidRPr="006846AE">
        <w:rPr>
          <w:noProof/>
        </w:rPr>
        <w:t>in the TTI where the BSR is transmitted: report Truncated BSR of the LCG with the highest priority logical channel with data available for transmission;</w:t>
      </w:r>
    </w:p>
    <w:p w14:paraId="157C17D9" w14:textId="77777777" w:rsidR="00E0129B" w:rsidRPr="006846AE" w:rsidRDefault="00E0129B" w:rsidP="00E0129B">
      <w:pPr>
        <w:pStyle w:val="B2"/>
        <w:rPr>
          <w:noProof/>
        </w:rPr>
      </w:pPr>
      <w:r w:rsidRPr="006846AE">
        <w:rPr>
          <w:noProof/>
        </w:rPr>
        <w:t>-</w:t>
      </w:r>
      <w:r w:rsidRPr="006846AE">
        <w:rPr>
          <w:noProof/>
        </w:rPr>
        <w:tab/>
        <w:t>else report Short BSR.</w:t>
      </w:r>
    </w:p>
    <w:p w14:paraId="54AB9721" w14:textId="77777777" w:rsidR="00E0129B" w:rsidRPr="006846AE" w:rsidRDefault="00E0129B" w:rsidP="00E0129B">
      <w:pPr>
        <w:pStyle w:val="B1"/>
        <w:rPr>
          <w:noProof/>
        </w:rPr>
      </w:pPr>
      <w:r w:rsidRPr="006846AE">
        <w:rPr>
          <w:noProof/>
        </w:rPr>
        <w:t>-</w:t>
      </w:r>
      <w:r w:rsidRPr="006846AE">
        <w:rPr>
          <w:noProof/>
        </w:rPr>
        <w:tab/>
        <w:t>else if the number of padding bits is equal to or larger than the size of the Long BSR plus its subheader, report Long BSR.</w:t>
      </w:r>
    </w:p>
    <w:p w14:paraId="12D5C232" w14:textId="6592EBD1" w:rsidR="00256A50" w:rsidRDefault="00AC6633">
      <w:r>
        <w:t xml:space="preserve">As can be seen, </w:t>
      </w:r>
      <w:r w:rsidR="006912C6">
        <w:t>the truncated BSR carries only the BS information of the LCG with the highest priority logical channel.</w:t>
      </w:r>
    </w:p>
    <w:p w14:paraId="02C0B88C" w14:textId="7310E122" w:rsidR="006912C6" w:rsidRDefault="00256A50">
      <w:r>
        <w:t xml:space="preserve">As we proposed in above sections, NR keeps the same size of short BSR as LTE. It is straight forward to reuse the same rules for </w:t>
      </w:r>
      <w:r w:rsidR="00AC6633">
        <w:t>the Truncated BSR format</w:t>
      </w:r>
      <w:r>
        <w:t>.</w:t>
      </w:r>
    </w:p>
    <w:p w14:paraId="390C7515" w14:textId="3F1A68B6" w:rsidR="00830A45" w:rsidRDefault="0006478F" w:rsidP="00AE5C3C">
      <w:pPr>
        <w:pStyle w:val="Proposal"/>
      </w:pPr>
      <w:bookmarkStart w:id="124" w:name="_Toc487448859"/>
      <w:bookmarkStart w:id="125" w:name="_Toc487451230"/>
      <w:bookmarkStart w:id="126" w:name="_Toc487458427"/>
      <w:bookmarkStart w:id="127" w:name="_Toc487467204"/>
      <w:bookmarkStart w:id="128" w:name="_Toc489623488"/>
      <w:bookmarkStart w:id="129" w:name="_Toc490212007"/>
      <w:bookmarkStart w:id="130" w:name="_Toc490213983"/>
      <w:bookmarkStart w:id="131" w:name="_Toc490215236"/>
      <w:bookmarkStart w:id="132" w:name="_Toc490215463"/>
      <w:bookmarkStart w:id="133" w:name="_Toc490216260"/>
      <w:bookmarkStart w:id="134" w:name="_Toc490223934"/>
      <w:bookmarkStart w:id="135" w:name="_Toc490230619"/>
      <w:bookmarkStart w:id="136" w:name="_Toc490230632"/>
      <w:r>
        <w:t>As like LTE, t</w:t>
      </w:r>
      <w:r w:rsidR="006912C6">
        <w:t xml:space="preserve">he Truncated BSR </w:t>
      </w:r>
      <w:r>
        <w:t>uses the short BSR format</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568FAB8D" w14:textId="77777777" w:rsidR="0083669F" w:rsidRPr="00332CC5" w:rsidRDefault="0083669F" w:rsidP="0083669F">
      <w:pPr>
        <w:pStyle w:val="Heading1"/>
        <w:numPr>
          <w:ilvl w:val="0"/>
          <w:numId w:val="16"/>
        </w:numPr>
        <w:textAlignment w:val="auto"/>
      </w:pPr>
      <w:r>
        <w:t>Conclusion</w:t>
      </w:r>
    </w:p>
    <w:p w14:paraId="66E3464D" w14:textId="77777777" w:rsidR="00870008" w:rsidRPr="00646C5D" w:rsidRDefault="00870008" w:rsidP="00870008">
      <w:r w:rsidRPr="00646C5D">
        <w:t xml:space="preserve">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made the following observations:</w:t>
      </w:r>
    </w:p>
    <w:p w14:paraId="49BB65F7" w14:textId="77777777" w:rsidR="00D27707" w:rsidRPr="001B52FF" w:rsidRDefault="00870008">
      <w:pPr>
        <w:pStyle w:val="TOC1"/>
        <w:rPr>
          <w:rFonts w:asciiTheme="minorHAnsi" w:eastAsiaTheme="minorEastAsia" w:hAnsiTheme="minorHAnsi" w:cstheme="minorBidi"/>
          <w:b w:val="0"/>
          <w:sz w:val="22"/>
        </w:rPr>
      </w:pPr>
      <w:r w:rsidRPr="00646C5D">
        <w:rPr>
          <w:b w:val="0"/>
          <w:bCs/>
          <w:noProof w:val="0"/>
          <w:lang w:val="en-GB"/>
        </w:rPr>
        <w:fldChar w:fldCharType="begin"/>
      </w:r>
      <w:r w:rsidRPr="00646C5D">
        <w:rPr>
          <w:b w:val="0"/>
          <w:bCs/>
          <w:noProof w:val="0"/>
          <w:lang w:val="en-GB"/>
        </w:rPr>
        <w:instrText xml:space="preserve"> TOC \f \n \t "Observation;1" </w:instrText>
      </w:r>
      <w:r w:rsidRPr="00646C5D">
        <w:rPr>
          <w:b w:val="0"/>
          <w:bCs/>
          <w:noProof w:val="0"/>
          <w:lang w:val="en-GB"/>
        </w:rPr>
        <w:fldChar w:fldCharType="separate"/>
      </w:r>
      <w:r w:rsidR="00D27707">
        <w:t>Observation 1</w:t>
      </w:r>
      <w:r w:rsidR="00D27707" w:rsidRPr="001B52FF">
        <w:rPr>
          <w:rFonts w:asciiTheme="minorHAnsi" w:eastAsiaTheme="minorEastAsia" w:hAnsiTheme="minorHAnsi" w:cstheme="minorBidi"/>
          <w:b w:val="0"/>
          <w:sz w:val="22"/>
        </w:rPr>
        <w:tab/>
      </w:r>
      <w:r w:rsidR="00D27707" w:rsidRPr="00555DFC">
        <w:rPr>
          <w:rFonts w:cs="Arial"/>
        </w:rPr>
        <w:t>NR BSR is also triggered per LCG.</w:t>
      </w:r>
    </w:p>
    <w:p w14:paraId="35438940" w14:textId="77777777" w:rsidR="00D27707" w:rsidRPr="001B52FF" w:rsidRDefault="00D27707">
      <w:pPr>
        <w:pStyle w:val="TOC1"/>
        <w:rPr>
          <w:rFonts w:asciiTheme="minorHAnsi" w:eastAsiaTheme="minorEastAsia" w:hAnsiTheme="minorHAnsi" w:cstheme="minorBidi"/>
          <w:b w:val="0"/>
          <w:sz w:val="22"/>
        </w:rPr>
      </w:pPr>
      <w:r>
        <w:t>Observation 2</w:t>
      </w:r>
      <w:r w:rsidRPr="001B52FF">
        <w:rPr>
          <w:rFonts w:asciiTheme="minorHAnsi" w:eastAsiaTheme="minorEastAsia" w:hAnsiTheme="minorHAnsi" w:cstheme="minorBidi"/>
          <w:b w:val="0"/>
          <w:sz w:val="22"/>
        </w:rPr>
        <w:tab/>
      </w:r>
      <w:r>
        <w:t>In NR, the LTE BSR formats must be updated to effectively accommodate BSs for up to eight LCGs.</w:t>
      </w:r>
    </w:p>
    <w:p w14:paraId="7AF531E4" w14:textId="77777777" w:rsidR="00D27707" w:rsidRPr="001B52FF" w:rsidRDefault="00D27707">
      <w:pPr>
        <w:pStyle w:val="TOC1"/>
        <w:rPr>
          <w:rFonts w:asciiTheme="minorHAnsi" w:eastAsiaTheme="minorEastAsia" w:hAnsiTheme="minorHAnsi" w:cstheme="minorBidi"/>
          <w:b w:val="0"/>
          <w:sz w:val="22"/>
        </w:rPr>
      </w:pPr>
      <w:r>
        <w:t>Observation 3</w:t>
      </w:r>
      <w:r w:rsidRPr="001B52FF">
        <w:rPr>
          <w:rFonts w:asciiTheme="minorHAnsi" w:eastAsiaTheme="minorEastAsia" w:hAnsiTheme="minorHAnsi" w:cstheme="minorBidi"/>
          <w:b w:val="0"/>
          <w:sz w:val="22"/>
        </w:rPr>
        <w:tab/>
      </w:r>
      <w:r>
        <w:t>A Long BSR format consisting of one BS field for each of the eight LCGs has unnecessarily large overhead in cases when few LCGs are configured.</w:t>
      </w:r>
    </w:p>
    <w:p w14:paraId="62D667C9" w14:textId="63DC237C" w:rsidR="00870008" w:rsidRPr="00646C5D" w:rsidRDefault="00870008" w:rsidP="00870008">
      <w:pPr>
        <w:pStyle w:val="BodyText"/>
        <w:rPr>
          <w:b/>
          <w:bCs/>
        </w:rPr>
      </w:pPr>
      <w:r w:rsidRPr="00646C5D">
        <w:rPr>
          <w:b/>
          <w:bCs/>
        </w:rPr>
        <w:fldChar w:fldCharType="end"/>
      </w:r>
    </w:p>
    <w:p w14:paraId="60B51677" w14:textId="7A989A58" w:rsidR="0083669F" w:rsidRDefault="00870008" w:rsidP="0083669F">
      <w:r w:rsidRPr="00646C5D">
        <w:t xml:space="preserve">Based on the discussion in Section </w:t>
      </w:r>
      <w:r w:rsidRPr="00646C5D">
        <w:rPr>
          <w:highlight w:val="cyan"/>
        </w:rPr>
        <w:fldChar w:fldCharType="begin"/>
      </w:r>
      <w:r w:rsidRPr="00646C5D">
        <w:instrText xml:space="preserve"> REF _Ref178064866 \r \h </w:instrText>
      </w:r>
      <w:r w:rsidRPr="00646C5D">
        <w:rPr>
          <w:highlight w:val="cyan"/>
        </w:rPr>
        <w:instrText xml:space="preserve"> \* MERGEFORMAT </w:instrText>
      </w:r>
      <w:r w:rsidRPr="00646C5D">
        <w:rPr>
          <w:highlight w:val="cyan"/>
        </w:rPr>
      </w:r>
      <w:r w:rsidRPr="00646C5D">
        <w:rPr>
          <w:highlight w:val="cyan"/>
        </w:rPr>
        <w:fldChar w:fldCharType="separate"/>
      </w:r>
      <w:r w:rsidRPr="00646C5D">
        <w:t>2</w:t>
      </w:r>
      <w:r w:rsidRPr="00646C5D">
        <w:rPr>
          <w:highlight w:val="cyan"/>
        </w:rPr>
        <w:fldChar w:fldCharType="end"/>
      </w:r>
      <w:r w:rsidRPr="00646C5D">
        <w:t xml:space="preserve"> we propose the following:</w:t>
      </w:r>
    </w:p>
    <w:p w14:paraId="560B1855" w14:textId="77777777" w:rsidR="00D27707" w:rsidRPr="001B52FF" w:rsidRDefault="0083669F">
      <w:pPr>
        <w:pStyle w:val="TOC1"/>
        <w:rPr>
          <w:rFonts w:asciiTheme="minorHAnsi" w:eastAsiaTheme="minorEastAsia"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r w:rsidR="00D27707">
        <w:t>Proposal 1</w:t>
      </w:r>
      <w:r w:rsidR="00D27707" w:rsidRPr="001B52FF">
        <w:rPr>
          <w:rFonts w:asciiTheme="minorHAnsi" w:eastAsiaTheme="minorEastAsia" w:hAnsiTheme="minorHAnsi" w:cstheme="minorBidi"/>
          <w:b w:val="0"/>
          <w:sz w:val="22"/>
        </w:rPr>
        <w:tab/>
      </w:r>
      <w:r w:rsidR="00D27707">
        <w:t>NR supports 3 types of BSRs including Regular BSR, Periodic BSR and Padding BSR.</w:t>
      </w:r>
    </w:p>
    <w:p w14:paraId="02B1571D" w14:textId="77777777" w:rsidR="00D27707" w:rsidRPr="001B52FF" w:rsidRDefault="00D27707">
      <w:pPr>
        <w:pStyle w:val="TOC1"/>
        <w:rPr>
          <w:rFonts w:asciiTheme="minorHAnsi" w:eastAsiaTheme="minorEastAsia" w:hAnsiTheme="minorHAnsi" w:cstheme="minorBidi"/>
          <w:b w:val="0"/>
          <w:sz w:val="22"/>
        </w:rPr>
      </w:pPr>
      <w:r>
        <w:t>Proposal 2</w:t>
      </w:r>
      <w:r w:rsidRPr="001B52FF">
        <w:rPr>
          <w:rFonts w:asciiTheme="minorHAnsi" w:eastAsiaTheme="minorEastAsia" w:hAnsiTheme="minorHAnsi" w:cstheme="minorBidi"/>
          <w:b w:val="0"/>
          <w:sz w:val="22"/>
        </w:rPr>
        <w:tab/>
      </w:r>
      <w:r>
        <w:t>NR supports short, long, and truncated BSR formats as like LTE</w:t>
      </w:r>
    </w:p>
    <w:p w14:paraId="6867AC07" w14:textId="77777777" w:rsidR="00D27707" w:rsidRPr="001B52FF" w:rsidRDefault="00D27707">
      <w:pPr>
        <w:pStyle w:val="TOC1"/>
        <w:rPr>
          <w:rFonts w:asciiTheme="minorHAnsi" w:eastAsiaTheme="minorEastAsia" w:hAnsiTheme="minorHAnsi" w:cstheme="minorBidi"/>
          <w:b w:val="0"/>
          <w:sz w:val="22"/>
        </w:rPr>
      </w:pPr>
      <w:r>
        <w:t>Proposal 3</w:t>
      </w:r>
      <w:r w:rsidRPr="001B52FF">
        <w:rPr>
          <w:rFonts w:asciiTheme="minorHAnsi" w:eastAsiaTheme="minorEastAsia" w:hAnsiTheme="minorHAnsi" w:cstheme="minorBidi"/>
          <w:b w:val="0"/>
          <w:sz w:val="22"/>
        </w:rPr>
        <w:tab/>
      </w:r>
      <w:r w:rsidRPr="0003665A">
        <w:t>The short BSR is 1 byte, consisting of a 3-bit LCG ID field and a 5-bit BS field.</w:t>
      </w:r>
    </w:p>
    <w:p w14:paraId="6C3F8719" w14:textId="77777777" w:rsidR="00D27707" w:rsidRPr="001B52FF" w:rsidRDefault="00D27707">
      <w:pPr>
        <w:pStyle w:val="TOC1"/>
        <w:rPr>
          <w:rFonts w:asciiTheme="minorHAnsi" w:eastAsiaTheme="minorEastAsia" w:hAnsiTheme="minorHAnsi" w:cstheme="minorBidi"/>
          <w:b w:val="0"/>
          <w:sz w:val="22"/>
        </w:rPr>
      </w:pPr>
      <w:r>
        <w:t>Proposal 4</w:t>
      </w:r>
      <w:r w:rsidRPr="001B52FF">
        <w:rPr>
          <w:rFonts w:asciiTheme="minorHAnsi" w:eastAsiaTheme="minorEastAsia" w:hAnsiTheme="minorHAnsi" w:cstheme="minorBidi"/>
          <w:b w:val="0"/>
          <w:sz w:val="22"/>
        </w:rPr>
        <w:tab/>
      </w:r>
      <w:r w:rsidRPr="0003665A">
        <w:t>The long BSR has a 1 byte BS field for each reported LCG ID</w:t>
      </w:r>
    </w:p>
    <w:p w14:paraId="5C2EB2E8" w14:textId="77777777" w:rsidR="00D27707" w:rsidRPr="001B52FF" w:rsidRDefault="00D27707">
      <w:pPr>
        <w:pStyle w:val="TOC1"/>
        <w:rPr>
          <w:rFonts w:asciiTheme="minorHAnsi" w:eastAsiaTheme="minorEastAsia" w:hAnsiTheme="minorHAnsi" w:cstheme="minorBidi"/>
          <w:b w:val="0"/>
          <w:sz w:val="22"/>
        </w:rPr>
      </w:pPr>
      <w:r>
        <w:t>Proposal 5</w:t>
      </w:r>
      <w:r w:rsidRPr="001B52FF">
        <w:rPr>
          <w:rFonts w:asciiTheme="minorHAnsi" w:eastAsiaTheme="minorEastAsia" w:hAnsiTheme="minorHAnsi" w:cstheme="minorBidi"/>
          <w:b w:val="0"/>
          <w:sz w:val="22"/>
        </w:rPr>
        <w:tab/>
      </w:r>
      <w:r w:rsidRPr="0003665A">
        <w:t>The number of LCGs is configured per UE, and a long BSR can consist of BSs for less than 8 LCGs</w:t>
      </w:r>
    </w:p>
    <w:p w14:paraId="06924C9F" w14:textId="77777777" w:rsidR="00D27707" w:rsidRPr="001B52FF" w:rsidRDefault="00D27707">
      <w:pPr>
        <w:pStyle w:val="TOC1"/>
        <w:rPr>
          <w:rFonts w:asciiTheme="minorHAnsi" w:eastAsiaTheme="minorEastAsia" w:hAnsiTheme="minorHAnsi" w:cstheme="minorBidi"/>
          <w:b w:val="0"/>
          <w:sz w:val="22"/>
        </w:rPr>
      </w:pPr>
      <w:r>
        <w:t>Proposal 6</w:t>
      </w:r>
      <w:r w:rsidRPr="001B52FF">
        <w:rPr>
          <w:rFonts w:asciiTheme="minorHAnsi" w:eastAsiaTheme="minorEastAsia" w:hAnsiTheme="minorHAnsi" w:cstheme="minorBidi"/>
          <w:b w:val="0"/>
          <w:sz w:val="22"/>
        </w:rPr>
        <w:tab/>
      </w:r>
      <w:r>
        <w:t>As like LTE, the Truncated BSR uses the short BSR format</w:t>
      </w:r>
    </w:p>
    <w:p w14:paraId="17DC4A50" w14:textId="2BBCB6B9" w:rsidR="0083669F" w:rsidRDefault="0083669F" w:rsidP="0083669F">
      <w:r>
        <w:rPr>
          <w:b/>
          <w:bCs/>
        </w:rPr>
        <w:fldChar w:fldCharType="end"/>
      </w:r>
    </w:p>
    <w:sectPr w:rsidR="0083669F">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1C3A3" w14:textId="77777777" w:rsidR="00500D7E" w:rsidRDefault="00500D7E">
      <w:r>
        <w:separator/>
      </w:r>
    </w:p>
  </w:endnote>
  <w:endnote w:type="continuationSeparator" w:id="0">
    <w:p w14:paraId="1012693E" w14:textId="77777777" w:rsidR="00500D7E" w:rsidRDefault="00500D7E">
      <w:r>
        <w:continuationSeparator/>
      </w:r>
    </w:p>
  </w:endnote>
  <w:endnote w:type="continuationNotice" w:id="1">
    <w:p w14:paraId="4615E1E0" w14:textId="77777777" w:rsidR="00500D7E" w:rsidRDefault="00500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86CB0" w14:textId="004BB561" w:rsidR="00786C67" w:rsidRDefault="00786C6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440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440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93DD6" w14:textId="77777777" w:rsidR="00500D7E" w:rsidRDefault="00500D7E">
      <w:r>
        <w:separator/>
      </w:r>
    </w:p>
  </w:footnote>
  <w:footnote w:type="continuationSeparator" w:id="0">
    <w:p w14:paraId="48D919F7" w14:textId="77777777" w:rsidR="00500D7E" w:rsidRDefault="00500D7E">
      <w:r>
        <w:continuationSeparator/>
      </w:r>
    </w:p>
  </w:footnote>
  <w:footnote w:type="continuationNotice" w:id="1">
    <w:p w14:paraId="065BE12B" w14:textId="77777777" w:rsidR="00500D7E" w:rsidRDefault="00500D7E">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9A5653" w14:textId="77777777" w:rsidR="00786C67" w:rsidRDefault="00786C6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54720" w14:textId="77777777" w:rsidR="00786C67" w:rsidRDefault="00786C6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000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17A4EB9"/>
    <w:multiLevelType w:val="multilevel"/>
    <w:tmpl w:val="A2701314"/>
    <w:lvl w:ilvl="0">
      <w:start w:val="1"/>
      <w:numFmt w:val="decimal"/>
      <w:lvlText w:val="%1."/>
      <w:lvlJc w:val="left"/>
      <w:pPr>
        <w:tabs>
          <w:tab w:val="num" w:pos="2608"/>
        </w:tabs>
        <w:ind w:left="2608" w:hanging="1304"/>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5B58F7"/>
    <w:multiLevelType w:val="hybridMultilevel"/>
    <w:tmpl w:val="6BAC3ED6"/>
    <w:lvl w:ilvl="0" w:tplc="C84A321A">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CF05A5"/>
    <w:multiLevelType w:val="hybridMultilevel"/>
    <w:tmpl w:val="54E07E70"/>
    <w:lvl w:ilvl="0" w:tplc="EDBAC062">
      <w:start w:val="1"/>
      <w:numFmt w:val="bullet"/>
      <w:lvlText w:val="›"/>
      <w:lvlJc w:val="left"/>
      <w:pPr>
        <w:tabs>
          <w:tab w:val="num" w:pos="720"/>
        </w:tabs>
        <w:ind w:left="720" w:hanging="360"/>
      </w:pPr>
      <w:rPr>
        <w:rFonts w:ascii="Arial" w:hAnsi="Arial" w:hint="default"/>
      </w:rPr>
    </w:lvl>
    <w:lvl w:ilvl="1" w:tplc="FB941A7E">
      <w:numFmt w:val="bullet"/>
      <w:lvlText w:val="–"/>
      <w:lvlJc w:val="left"/>
      <w:pPr>
        <w:tabs>
          <w:tab w:val="num" w:pos="1440"/>
        </w:tabs>
        <w:ind w:left="1440" w:hanging="360"/>
      </w:pPr>
      <w:rPr>
        <w:rFonts w:ascii="Ericsson Capital TT" w:hAnsi="Ericsson Capital TT" w:hint="default"/>
      </w:rPr>
    </w:lvl>
    <w:lvl w:ilvl="2" w:tplc="D08E5068" w:tentative="1">
      <w:start w:val="1"/>
      <w:numFmt w:val="bullet"/>
      <w:lvlText w:val="›"/>
      <w:lvlJc w:val="left"/>
      <w:pPr>
        <w:tabs>
          <w:tab w:val="num" w:pos="2160"/>
        </w:tabs>
        <w:ind w:left="2160" w:hanging="360"/>
      </w:pPr>
      <w:rPr>
        <w:rFonts w:ascii="Arial" w:hAnsi="Arial" w:hint="default"/>
      </w:rPr>
    </w:lvl>
    <w:lvl w:ilvl="3" w:tplc="2B14F75E" w:tentative="1">
      <w:start w:val="1"/>
      <w:numFmt w:val="bullet"/>
      <w:lvlText w:val="›"/>
      <w:lvlJc w:val="left"/>
      <w:pPr>
        <w:tabs>
          <w:tab w:val="num" w:pos="2880"/>
        </w:tabs>
        <w:ind w:left="2880" w:hanging="360"/>
      </w:pPr>
      <w:rPr>
        <w:rFonts w:ascii="Arial" w:hAnsi="Arial" w:hint="default"/>
      </w:rPr>
    </w:lvl>
    <w:lvl w:ilvl="4" w:tplc="60503B76" w:tentative="1">
      <w:start w:val="1"/>
      <w:numFmt w:val="bullet"/>
      <w:lvlText w:val="›"/>
      <w:lvlJc w:val="left"/>
      <w:pPr>
        <w:tabs>
          <w:tab w:val="num" w:pos="3600"/>
        </w:tabs>
        <w:ind w:left="3600" w:hanging="360"/>
      </w:pPr>
      <w:rPr>
        <w:rFonts w:ascii="Arial" w:hAnsi="Arial" w:hint="default"/>
      </w:rPr>
    </w:lvl>
    <w:lvl w:ilvl="5" w:tplc="95F0BD22" w:tentative="1">
      <w:start w:val="1"/>
      <w:numFmt w:val="bullet"/>
      <w:lvlText w:val="›"/>
      <w:lvlJc w:val="left"/>
      <w:pPr>
        <w:tabs>
          <w:tab w:val="num" w:pos="4320"/>
        </w:tabs>
        <w:ind w:left="4320" w:hanging="360"/>
      </w:pPr>
      <w:rPr>
        <w:rFonts w:ascii="Arial" w:hAnsi="Arial" w:hint="default"/>
      </w:rPr>
    </w:lvl>
    <w:lvl w:ilvl="6" w:tplc="65EA1B20" w:tentative="1">
      <w:start w:val="1"/>
      <w:numFmt w:val="bullet"/>
      <w:lvlText w:val="›"/>
      <w:lvlJc w:val="left"/>
      <w:pPr>
        <w:tabs>
          <w:tab w:val="num" w:pos="5040"/>
        </w:tabs>
        <w:ind w:left="5040" w:hanging="360"/>
      </w:pPr>
      <w:rPr>
        <w:rFonts w:ascii="Arial" w:hAnsi="Arial" w:hint="default"/>
      </w:rPr>
    </w:lvl>
    <w:lvl w:ilvl="7" w:tplc="EBC0D51E" w:tentative="1">
      <w:start w:val="1"/>
      <w:numFmt w:val="bullet"/>
      <w:lvlText w:val="›"/>
      <w:lvlJc w:val="left"/>
      <w:pPr>
        <w:tabs>
          <w:tab w:val="num" w:pos="5760"/>
        </w:tabs>
        <w:ind w:left="5760" w:hanging="360"/>
      </w:pPr>
      <w:rPr>
        <w:rFonts w:ascii="Arial" w:hAnsi="Arial" w:hint="default"/>
      </w:rPr>
    </w:lvl>
    <w:lvl w:ilvl="8" w:tplc="9DC0503C" w:tentative="1">
      <w:start w:val="1"/>
      <w:numFmt w:val="bullet"/>
      <w:lvlText w:val="›"/>
      <w:lvlJc w:val="left"/>
      <w:pPr>
        <w:tabs>
          <w:tab w:val="num" w:pos="6480"/>
        </w:tabs>
        <w:ind w:left="6480" w:hanging="360"/>
      </w:pPr>
      <w:rPr>
        <w:rFonts w:ascii="Arial" w:hAnsi="Arial" w:hint="default"/>
      </w:rPr>
    </w:lvl>
  </w:abstractNum>
  <w:abstractNum w:abstractNumId="9">
    <w:nsid w:val="18A93712"/>
    <w:multiLevelType w:val="hybridMultilevel"/>
    <w:tmpl w:val="9A6CACAA"/>
    <w:lvl w:ilvl="0" w:tplc="B5AC3264">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0">
    <w:nsid w:val="198C544B"/>
    <w:multiLevelType w:val="multilevel"/>
    <w:tmpl w:val="A80C5B28"/>
    <w:lvl w:ilvl="0">
      <w:start w:val="1"/>
      <w:numFmt w:val="lowerLetter"/>
      <w:lvlText w:val="%1."/>
      <w:lvlJc w:val="left"/>
      <w:pPr>
        <w:ind w:left="1664" w:hanging="360"/>
      </w:pPr>
      <w:rPr>
        <w:rFonts w:hint="default"/>
      </w:rPr>
    </w:lvl>
    <w:lvl w:ilvl="1">
      <w:start w:val="1"/>
      <w:numFmt w:val="lowerLetter"/>
      <w:lvlText w:val="%2."/>
      <w:lvlJc w:val="left"/>
      <w:pPr>
        <w:tabs>
          <w:tab w:val="num" w:pos="2744"/>
        </w:tabs>
        <w:ind w:left="2744" w:hanging="360"/>
      </w:pPr>
    </w:lvl>
    <w:lvl w:ilvl="2">
      <w:start w:val="1"/>
      <w:numFmt w:val="lowerRoman"/>
      <w:lvlText w:val="%3."/>
      <w:lvlJc w:val="right"/>
      <w:pPr>
        <w:tabs>
          <w:tab w:val="num" w:pos="3464"/>
        </w:tabs>
        <w:ind w:left="3464" w:hanging="180"/>
      </w:pPr>
    </w:lvl>
    <w:lvl w:ilvl="3">
      <w:start w:val="1"/>
      <w:numFmt w:val="decimal"/>
      <w:lvlText w:val="%4."/>
      <w:lvlJc w:val="left"/>
      <w:pPr>
        <w:tabs>
          <w:tab w:val="num" w:pos="4184"/>
        </w:tabs>
        <w:ind w:left="4184" w:hanging="360"/>
      </w:pPr>
    </w:lvl>
    <w:lvl w:ilvl="4">
      <w:start w:val="1"/>
      <w:numFmt w:val="lowerLetter"/>
      <w:lvlText w:val="%5."/>
      <w:lvlJc w:val="left"/>
      <w:pPr>
        <w:tabs>
          <w:tab w:val="num" w:pos="4904"/>
        </w:tabs>
        <w:ind w:left="4904" w:hanging="360"/>
      </w:pPr>
    </w:lvl>
    <w:lvl w:ilvl="5">
      <w:start w:val="1"/>
      <w:numFmt w:val="lowerRoman"/>
      <w:lvlText w:val="%6."/>
      <w:lvlJc w:val="right"/>
      <w:pPr>
        <w:tabs>
          <w:tab w:val="num" w:pos="5624"/>
        </w:tabs>
        <w:ind w:left="5624" w:hanging="180"/>
      </w:pPr>
    </w:lvl>
    <w:lvl w:ilvl="6">
      <w:start w:val="1"/>
      <w:numFmt w:val="decimal"/>
      <w:lvlText w:val="%7."/>
      <w:lvlJc w:val="left"/>
      <w:pPr>
        <w:tabs>
          <w:tab w:val="num" w:pos="6344"/>
        </w:tabs>
        <w:ind w:left="6344" w:hanging="360"/>
      </w:pPr>
    </w:lvl>
    <w:lvl w:ilvl="7">
      <w:start w:val="1"/>
      <w:numFmt w:val="lowerLetter"/>
      <w:lvlText w:val="%8."/>
      <w:lvlJc w:val="left"/>
      <w:pPr>
        <w:tabs>
          <w:tab w:val="num" w:pos="7064"/>
        </w:tabs>
        <w:ind w:left="7064" w:hanging="360"/>
      </w:pPr>
    </w:lvl>
    <w:lvl w:ilvl="8">
      <w:start w:val="1"/>
      <w:numFmt w:val="lowerRoman"/>
      <w:lvlText w:val="%9."/>
      <w:lvlJc w:val="right"/>
      <w:pPr>
        <w:tabs>
          <w:tab w:val="num" w:pos="7784"/>
        </w:tabs>
        <w:ind w:left="7784" w:hanging="180"/>
      </w:pPr>
    </w:lvl>
  </w:abstractNum>
  <w:abstractNum w:abstractNumId="11">
    <w:nsid w:val="1AC94D51"/>
    <w:multiLevelType w:val="hybridMultilevel"/>
    <w:tmpl w:val="91A4CB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3A34AC5"/>
    <w:multiLevelType w:val="hybridMultilevel"/>
    <w:tmpl w:val="0A769AC0"/>
    <w:lvl w:ilvl="0" w:tplc="08090019">
      <w:start w:val="1"/>
      <w:numFmt w:val="lowerLetter"/>
      <w:lvlText w:val="%1."/>
      <w:lvlJc w:val="left"/>
      <w:pPr>
        <w:ind w:left="1664" w:hanging="360"/>
      </w:pPr>
      <w:rPr>
        <w:rFonts w:hint="default"/>
      </w:rPr>
    </w:lvl>
    <w:lvl w:ilvl="1" w:tplc="08090001">
      <w:start w:val="1"/>
      <w:numFmt w:val="bullet"/>
      <w:lvlText w:val=""/>
      <w:lvlJc w:val="left"/>
      <w:pPr>
        <w:ind w:left="2744" w:hanging="360"/>
      </w:pPr>
      <w:rPr>
        <w:rFonts w:ascii="Symbol" w:hAnsi="Symbol" w:hint="default"/>
      </w:rPr>
    </w:lvl>
    <w:lvl w:ilvl="2" w:tplc="0409001B" w:tentative="1">
      <w:start w:val="1"/>
      <w:numFmt w:val="lowerRoman"/>
      <w:lvlText w:val="%3."/>
      <w:lvlJc w:val="right"/>
      <w:pPr>
        <w:tabs>
          <w:tab w:val="num" w:pos="3464"/>
        </w:tabs>
        <w:ind w:left="3464" w:hanging="180"/>
      </w:pPr>
    </w:lvl>
    <w:lvl w:ilvl="3" w:tplc="0409000F" w:tentative="1">
      <w:start w:val="1"/>
      <w:numFmt w:val="decimal"/>
      <w:lvlText w:val="%4."/>
      <w:lvlJc w:val="left"/>
      <w:pPr>
        <w:tabs>
          <w:tab w:val="num" w:pos="4184"/>
        </w:tabs>
        <w:ind w:left="4184" w:hanging="360"/>
      </w:pPr>
    </w:lvl>
    <w:lvl w:ilvl="4" w:tplc="04090019" w:tentative="1">
      <w:start w:val="1"/>
      <w:numFmt w:val="lowerLetter"/>
      <w:lvlText w:val="%5."/>
      <w:lvlJc w:val="left"/>
      <w:pPr>
        <w:tabs>
          <w:tab w:val="num" w:pos="4904"/>
        </w:tabs>
        <w:ind w:left="4904" w:hanging="360"/>
      </w:pPr>
    </w:lvl>
    <w:lvl w:ilvl="5" w:tplc="0409001B" w:tentative="1">
      <w:start w:val="1"/>
      <w:numFmt w:val="lowerRoman"/>
      <w:lvlText w:val="%6."/>
      <w:lvlJc w:val="right"/>
      <w:pPr>
        <w:tabs>
          <w:tab w:val="num" w:pos="5624"/>
        </w:tabs>
        <w:ind w:left="5624" w:hanging="180"/>
      </w:pPr>
    </w:lvl>
    <w:lvl w:ilvl="6" w:tplc="0409000F" w:tentative="1">
      <w:start w:val="1"/>
      <w:numFmt w:val="decimal"/>
      <w:lvlText w:val="%7."/>
      <w:lvlJc w:val="left"/>
      <w:pPr>
        <w:tabs>
          <w:tab w:val="num" w:pos="6344"/>
        </w:tabs>
        <w:ind w:left="6344" w:hanging="360"/>
      </w:pPr>
    </w:lvl>
    <w:lvl w:ilvl="7" w:tplc="04090019" w:tentative="1">
      <w:start w:val="1"/>
      <w:numFmt w:val="lowerLetter"/>
      <w:lvlText w:val="%8."/>
      <w:lvlJc w:val="left"/>
      <w:pPr>
        <w:tabs>
          <w:tab w:val="num" w:pos="7064"/>
        </w:tabs>
        <w:ind w:left="7064" w:hanging="360"/>
      </w:pPr>
    </w:lvl>
    <w:lvl w:ilvl="8" w:tplc="0409001B" w:tentative="1">
      <w:start w:val="1"/>
      <w:numFmt w:val="lowerRoman"/>
      <w:lvlText w:val="%9."/>
      <w:lvlJc w:val="right"/>
      <w:pPr>
        <w:tabs>
          <w:tab w:val="num" w:pos="7784"/>
        </w:tabs>
        <w:ind w:left="7784" w:hanging="180"/>
      </w:pPr>
    </w:lvl>
  </w:abstractNum>
  <w:abstractNum w:abstractNumId="14">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2349F3"/>
    <w:multiLevelType w:val="hybridMultilevel"/>
    <w:tmpl w:val="4274CFA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5D57BD9"/>
    <w:multiLevelType w:val="hybridMultilevel"/>
    <w:tmpl w:val="A83A563C"/>
    <w:lvl w:ilvl="0" w:tplc="A2FE5CFC">
      <w:start w:val="1"/>
      <w:numFmt w:val="lowerLetter"/>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1">
    <w:nsid w:val="393B4472"/>
    <w:multiLevelType w:val="hybridMultilevel"/>
    <w:tmpl w:val="81C49F9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D5C358B"/>
    <w:multiLevelType w:val="hybridMultilevel"/>
    <w:tmpl w:val="3B0CBBE0"/>
    <w:lvl w:ilvl="0" w:tplc="998C0E5C">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25">
    <w:nsid w:val="402C0F98"/>
    <w:multiLevelType w:val="hybridMultilevel"/>
    <w:tmpl w:val="DFCEA1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1170A6"/>
    <w:multiLevelType w:val="hybridMultilevel"/>
    <w:tmpl w:val="27B4AFFC"/>
    <w:lvl w:ilvl="0" w:tplc="6ACC8AF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B912A2"/>
    <w:multiLevelType w:val="hybridMultilevel"/>
    <w:tmpl w:val="F3EAE112"/>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68805504"/>
    <w:multiLevelType w:val="hybridMultilevel"/>
    <w:tmpl w:val="7C9C0C3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69B47CED"/>
    <w:multiLevelType w:val="hybridMultilevel"/>
    <w:tmpl w:val="D08C09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nsid w:val="6E44667A"/>
    <w:multiLevelType w:val="hybridMultilevel"/>
    <w:tmpl w:val="32C0379A"/>
    <w:lvl w:ilvl="0" w:tplc="5BB6EC62">
      <w:start w:val="1"/>
      <w:numFmt w:val="bullet"/>
      <w:lvlText w:val="›"/>
      <w:lvlJc w:val="left"/>
      <w:pPr>
        <w:tabs>
          <w:tab w:val="num" w:pos="360"/>
        </w:tabs>
        <w:ind w:left="360" w:hanging="360"/>
      </w:pPr>
      <w:rPr>
        <w:rFonts w:ascii="Arial" w:hAnsi="Arial" w:hint="default"/>
      </w:rPr>
    </w:lvl>
    <w:lvl w:ilvl="1" w:tplc="F35E289C">
      <w:start w:val="63"/>
      <w:numFmt w:val="bullet"/>
      <w:lvlText w:val="–"/>
      <w:lvlJc w:val="left"/>
      <w:pPr>
        <w:tabs>
          <w:tab w:val="num" w:pos="1080"/>
        </w:tabs>
        <w:ind w:left="1080" w:hanging="360"/>
      </w:pPr>
      <w:rPr>
        <w:rFonts w:ascii="Ericsson Capital TT" w:hAnsi="Ericsson Capital TT" w:hint="default"/>
      </w:rPr>
    </w:lvl>
    <w:lvl w:ilvl="2" w:tplc="65ACCF52" w:tentative="1">
      <w:start w:val="1"/>
      <w:numFmt w:val="bullet"/>
      <w:lvlText w:val="›"/>
      <w:lvlJc w:val="left"/>
      <w:pPr>
        <w:tabs>
          <w:tab w:val="num" w:pos="1800"/>
        </w:tabs>
        <w:ind w:left="1800" w:hanging="360"/>
      </w:pPr>
      <w:rPr>
        <w:rFonts w:ascii="Arial" w:hAnsi="Arial" w:hint="default"/>
      </w:rPr>
    </w:lvl>
    <w:lvl w:ilvl="3" w:tplc="FB7EA74A" w:tentative="1">
      <w:start w:val="1"/>
      <w:numFmt w:val="bullet"/>
      <w:lvlText w:val="›"/>
      <w:lvlJc w:val="left"/>
      <w:pPr>
        <w:tabs>
          <w:tab w:val="num" w:pos="2520"/>
        </w:tabs>
        <w:ind w:left="2520" w:hanging="360"/>
      </w:pPr>
      <w:rPr>
        <w:rFonts w:ascii="Arial" w:hAnsi="Arial" w:hint="default"/>
      </w:rPr>
    </w:lvl>
    <w:lvl w:ilvl="4" w:tplc="4630332A" w:tentative="1">
      <w:start w:val="1"/>
      <w:numFmt w:val="bullet"/>
      <w:lvlText w:val="›"/>
      <w:lvlJc w:val="left"/>
      <w:pPr>
        <w:tabs>
          <w:tab w:val="num" w:pos="3240"/>
        </w:tabs>
        <w:ind w:left="3240" w:hanging="360"/>
      </w:pPr>
      <w:rPr>
        <w:rFonts w:ascii="Arial" w:hAnsi="Arial" w:hint="default"/>
      </w:rPr>
    </w:lvl>
    <w:lvl w:ilvl="5" w:tplc="1EE21924" w:tentative="1">
      <w:start w:val="1"/>
      <w:numFmt w:val="bullet"/>
      <w:lvlText w:val="›"/>
      <w:lvlJc w:val="left"/>
      <w:pPr>
        <w:tabs>
          <w:tab w:val="num" w:pos="3960"/>
        </w:tabs>
        <w:ind w:left="3960" w:hanging="360"/>
      </w:pPr>
      <w:rPr>
        <w:rFonts w:ascii="Arial" w:hAnsi="Arial" w:hint="default"/>
      </w:rPr>
    </w:lvl>
    <w:lvl w:ilvl="6" w:tplc="DFECE16C" w:tentative="1">
      <w:start w:val="1"/>
      <w:numFmt w:val="bullet"/>
      <w:lvlText w:val="›"/>
      <w:lvlJc w:val="left"/>
      <w:pPr>
        <w:tabs>
          <w:tab w:val="num" w:pos="4680"/>
        </w:tabs>
        <w:ind w:left="4680" w:hanging="360"/>
      </w:pPr>
      <w:rPr>
        <w:rFonts w:ascii="Arial" w:hAnsi="Arial" w:hint="default"/>
      </w:rPr>
    </w:lvl>
    <w:lvl w:ilvl="7" w:tplc="B25E6344" w:tentative="1">
      <w:start w:val="1"/>
      <w:numFmt w:val="bullet"/>
      <w:lvlText w:val="›"/>
      <w:lvlJc w:val="left"/>
      <w:pPr>
        <w:tabs>
          <w:tab w:val="num" w:pos="5400"/>
        </w:tabs>
        <w:ind w:left="5400" w:hanging="360"/>
      </w:pPr>
      <w:rPr>
        <w:rFonts w:ascii="Arial" w:hAnsi="Arial" w:hint="default"/>
      </w:rPr>
    </w:lvl>
    <w:lvl w:ilvl="8" w:tplc="945ADE22" w:tentative="1">
      <w:start w:val="1"/>
      <w:numFmt w:val="bullet"/>
      <w:lvlText w:val="›"/>
      <w:lvlJc w:val="left"/>
      <w:pPr>
        <w:tabs>
          <w:tab w:val="num" w:pos="6120"/>
        </w:tabs>
        <w:ind w:left="6120" w:hanging="360"/>
      </w:pPr>
      <w:rPr>
        <w:rFonts w:ascii="Arial" w:hAnsi="Arial" w:hint="default"/>
      </w:rPr>
    </w:lvl>
  </w:abstractNum>
  <w:abstractNum w:abstractNumId="36">
    <w:nsid w:val="7CAA595A"/>
    <w:multiLevelType w:val="hybridMultilevel"/>
    <w:tmpl w:val="1C6CD0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nsid w:val="7E0E27F5"/>
    <w:multiLevelType w:val="hybridMultilevel"/>
    <w:tmpl w:val="345E86BE"/>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2"/>
  </w:num>
  <w:num w:numId="4">
    <w:abstractNumId w:val="23"/>
  </w:num>
  <w:num w:numId="5">
    <w:abstractNumId w:val="18"/>
  </w:num>
  <w:num w:numId="6">
    <w:abstractNumId w:val="26"/>
  </w:num>
  <w:num w:numId="7">
    <w:abstractNumId w:val="31"/>
  </w:num>
  <w:num w:numId="8">
    <w:abstractNumId w:val="19"/>
  </w:num>
  <w:num w:numId="9">
    <w:abstractNumId w:val="16"/>
  </w:num>
  <w:num w:numId="10">
    <w:abstractNumId w:val="3"/>
  </w:num>
  <w:num w:numId="11">
    <w:abstractNumId w:val="2"/>
  </w:num>
  <w:num w:numId="12">
    <w:abstractNumId w:val="1"/>
  </w:num>
  <w:num w:numId="13">
    <w:abstractNumId w:val="29"/>
  </w:num>
  <w:num w:numId="14">
    <w:abstractNumId w:val="22"/>
    <w:lvlOverride w:ilvl="0">
      <w:startOverride w:val="1"/>
    </w:lvlOverride>
  </w:num>
  <w:num w:numId="15">
    <w:abstractNumId w:val="29"/>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5"/>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7"/>
  </w:num>
  <w:num w:numId="23">
    <w:abstractNumId w:val="35"/>
  </w:num>
  <w:num w:numId="24">
    <w:abstractNumId w:val="22"/>
  </w:num>
  <w:num w:numId="25">
    <w:abstractNumId w:val="13"/>
  </w:num>
  <w:num w:numId="26">
    <w:abstractNumId w:val="0"/>
  </w:num>
  <w:num w:numId="27">
    <w:abstractNumId w:val="4"/>
  </w:num>
  <w:num w:numId="28">
    <w:abstractNumId w:val="10"/>
  </w:num>
  <w:num w:numId="29">
    <w:abstractNumId w:val="32"/>
  </w:num>
  <w:num w:numId="30">
    <w:abstractNumId w:val="8"/>
  </w:num>
  <w:num w:numId="31">
    <w:abstractNumId w:val="25"/>
  </w:num>
  <w:num w:numId="32">
    <w:abstractNumId w:val="37"/>
  </w:num>
  <w:num w:numId="33">
    <w:abstractNumId w:val="20"/>
  </w:num>
  <w:num w:numId="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24"/>
  </w:num>
  <w:num w:numId="38">
    <w:abstractNumId w:val="33"/>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5"/>
  </w:num>
  <w:num w:numId="44">
    <w:abstractNumId w:val="36"/>
  </w:num>
  <w:num w:numId="45">
    <w:abstractNumId w:val="34"/>
  </w:num>
  <w:num w:numId="4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CB7"/>
    <w:rsid w:val="00002A37"/>
    <w:rsid w:val="00002F4E"/>
    <w:rsid w:val="00003A0B"/>
    <w:rsid w:val="00004706"/>
    <w:rsid w:val="0000484A"/>
    <w:rsid w:val="00006446"/>
    <w:rsid w:val="00006896"/>
    <w:rsid w:val="00006E95"/>
    <w:rsid w:val="00007689"/>
    <w:rsid w:val="00007CDC"/>
    <w:rsid w:val="00010564"/>
    <w:rsid w:val="00011B28"/>
    <w:rsid w:val="00013859"/>
    <w:rsid w:val="00015363"/>
    <w:rsid w:val="00015D15"/>
    <w:rsid w:val="00016D75"/>
    <w:rsid w:val="00017802"/>
    <w:rsid w:val="0002193E"/>
    <w:rsid w:val="00024D88"/>
    <w:rsid w:val="000252A8"/>
    <w:rsid w:val="0002564D"/>
    <w:rsid w:val="0002570C"/>
    <w:rsid w:val="00025BEB"/>
    <w:rsid w:val="00025ECA"/>
    <w:rsid w:val="00027939"/>
    <w:rsid w:val="0003010F"/>
    <w:rsid w:val="000325B8"/>
    <w:rsid w:val="00032BF6"/>
    <w:rsid w:val="00034C15"/>
    <w:rsid w:val="000359F5"/>
    <w:rsid w:val="0003606B"/>
    <w:rsid w:val="000368F9"/>
    <w:rsid w:val="00036BA1"/>
    <w:rsid w:val="000373D3"/>
    <w:rsid w:val="00041EDA"/>
    <w:rsid w:val="000422E2"/>
    <w:rsid w:val="00042F22"/>
    <w:rsid w:val="00043D89"/>
    <w:rsid w:val="000444EF"/>
    <w:rsid w:val="000445A6"/>
    <w:rsid w:val="00044E32"/>
    <w:rsid w:val="00045319"/>
    <w:rsid w:val="00045A57"/>
    <w:rsid w:val="00050D1C"/>
    <w:rsid w:val="00051275"/>
    <w:rsid w:val="00052A07"/>
    <w:rsid w:val="000534E3"/>
    <w:rsid w:val="00054FFD"/>
    <w:rsid w:val="0005606A"/>
    <w:rsid w:val="000563C4"/>
    <w:rsid w:val="00056E04"/>
    <w:rsid w:val="00057117"/>
    <w:rsid w:val="000574AB"/>
    <w:rsid w:val="000616E7"/>
    <w:rsid w:val="00062241"/>
    <w:rsid w:val="00063516"/>
    <w:rsid w:val="0006478F"/>
    <w:rsid w:val="0006487E"/>
    <w:rsid w:val="00064E8A"/>
    <w:rsid w:val="00065E1A"/>
    <w:rsid w:val="0006629C"/>
    <w:rsid w:val="00066BF6"/>
    <w:rsid w:val="0007103F"/>
    <w:rsid w:val="00071D9E"/>
    <w:rsid w:val="00071F71"/>
    <w:rsid w:val="000732A8"/>
    <w:rsid w:val="00073DB7"/>
    <w:rsid w:val="00074CD3"/>
    <w:rsid w:val="00075EF0"/>
    <w:rsid w:val="000764CC"/>
    <w:rsid w:val="00077E5F"/>
    <w:rsid w:val="0008036A"/>
    <w:rsid w:val="00081535"/>
    <w:rsid w:val="00081AE6"/>
    <w:rsid w:val="00081D68"/>
    <w:rsid w:val="00081F40"/>
    <w:rsid w:val="0008226D"/>
    <w:rsid w:val="00084864"/>
    <w:rsid w:val="000855EB"/>
    <w:rsid w:val="00085B52"/>
    <w:rsid w:val="00086596"/>
    <w:rsid w:val="000866F2"/>
    <w:rsid w:val="00086E2D"/>
    <w:rsid w:val="0008783E"/>
    <w:rsid w:val="0009009F"/>
    <w:rsid w:val="00091557"/>
    <w:rsid w:val="000924C1"/>
    <w:rsid w:val="000924F0"/>
    <w:rsid w:val="00092DB9"/>
    <w:rsid w:val="00093474"/>
    <w:rsid w:val="000950EA"/>
    <w:rsid w:val="0009510F"/>
    <w:rsid w:val="00095AA7"/>
    <w:rsid w:val="00095C83"/>
    <w:rsid w:val="000971DF"/>
    <w:rsid w:val="000A1B7B"/>
    <w:rsid w:val="000A2AC7"/>
    <w:rsid w:val="000A399B"/>
    <w:rsid w:val="000A4E98"/>
    <w:rsid w:val="000A56F2"/>
    <w:rsid w:val="000A60EC"/>
    <w:rsid w:val="000A7644"/>
    <w:rsid w:val="000A79F1"/>
    <w:rsid w:val="000B1366"/>
    <w:rsid w:val="000B2719"/>
    <w:rsid w:val="000B3A8F"/>
    <w:rsid w:val="000B4781"/>
    <w:rsid w:val="000B4AB9"/>
    <w:rsid w:val="000B5262"/>
    <w:rsid w:val="000B58C3"/>
    <w:rsid w:val="000B6056"/>
    <w:rsid w:val="000B61E9"/>
    <w:rsid w:val="000B6F5A"/>
    <w:rsid w:val="000C0E03"/>
    <w:rsid w:val="000C165A"/>
    <w:rsid w:val="000C2E19"/>
    <w:rsid w:val="000C3E4F"/>
    <w:rsid w:val="000C5A6B"/>
    <w:rsid w:val="000D0D07"/>
    <w:rsid w:val="000D23F7"/>
    <w:rsid w:val="000D4797"/>
    <w:rsid w:val="000D7830"/>
    <w:rsid w:val="000D794C"/>
    <w:rsid w:val="000D7FD4"/>
    <w:rsid w:val="000E0527"/>
    <w:rsid w:val="000E1E92"/>
    <w:rsid w:val="000E27D4"/>
    <w:rsid w:val="000E3C8C"/>
    <w:rsid w:val="000E5810"/>
    <w:rsid w:val="000F06D6"/>
    <w:rsid w:val="000F0EB1"/>
    <w:rsid w:val="000F1106"/>
    <w:rsid w:val="000F253E"/>
    <w:rsid w:val="000F2825"/>
    <w:rsid w:val="000F3809"/>
    <w:rsid w:val="000F3BE9"/>
    <w:rsid w:val="000F3F6C"/>
    <w:rsid w:val="000F4CE5"/>
    <w:rsid w:val="000F6DF3"/>
    <w:rsid w:val="000F786F"/>
    <w:rsid w:val="001005FF"/>
    <w:rsid w:val="00100982"/>
    <w:rsid w:val="00103DFC"/>
    <w:rsid w:val="00103E5B"/>
    <w:rsid w:val="00105494"/>
    <w:rsid w:val="001062FB"/>
    <w:rsid w:val="001063E6"/>
    <w:rsid w:val="00106DC6"/>
    <w:rsid w:val="0010701F"/>
    <w:rsid w:val="0011063E"/>
    <w:rsid w:val="00112F08"/>
    <w:rsid w:val="00113CF4"/>
    <w:rsid w:val="001153EA"/>
    <w:rsid w:val="00115643"/>
    <w:rsid w:val="00116765"/>
    <w:rsid w:val="00120A07"/>
    <w:rsid w:val="00120C4E"/>
    <w:rsid w:val="00120E3F"/>
    <w:rsid w:val="001219F5"/>
    <w:rsid w:val="00121A20"/>
    <w:rsid w:val="00122F2E"/>
    <w:rsid w:val="00123067"/>
    <w:rsid w:val="0012345A"/>
    <w:rsid w:val="0012377F"/>
    <w:rsid w:val="00124314"/>
    <w:rsid w:val="001245D7"/>
    <w:rsid w:val="00126B4A"/>
    <w:rsid w:val="00130B02"/>
    <w:rsid w:val="00130C81"/>
    <w:rsid w:val="00130DF5"/>
    <w:rsid w:val="00132407"/>
    <w:rsid w:val="001328E4"/>
    <w:rsid w:val="00132CAB"/>
    <w:rsid w:val="00132FD0"/>
    <w:rsid w:val="0013301E"/>
    <w:rsid w:val="001344C0"/>
    <w:rsid w:val="001346FA"/>
    <w:rsid w:val="00135252"/>
    <w:rsid w:val="001368BC"/>
    <w:rsid w:val="00137AB5"/>
    <w:rsid w:val="00137F0B"/>
    <w:rsid w:val="0014066E"/>
    <w:rsid w:val="00140DC8"/>
    <w:rsid w:val="00141725"/>
    <w:rsid w:val="0014659F"/>
    <w:rsid w:val="00146A94"/>
    <w:rsid w:val="001470DC"/>
    <w:rsid w:val="00150173"/>
    <w:rsid w:val="0015122F"/>
    <w:rsid w:val="00151E23"/>
    <w:rsid w:val="001526E0"/>
    <w:rsid w:val="00152C08"/>
    <w:rsid w:val="00154AAA"/>
    <w:rsid w:val="001551B5"/>
    <w:rsid w:val="00155372"/>
    <w:rsid w:val="00155388"/>
    <w:rsid w:val="0015541E"/>
    <w:rsid w:val="00156FD7"/>
    <w:rsid w:val="00157BAC"/>
    <w:rsid w:val="00161061"/>
    <w:rsid w:val="0016177E"/>
    <w:rsid w:val="001643A8"/>
    <w:rsid w:val="00164DF7"/>
    <w:rsid w:val="0016594C"/>
    <w:rsid w:val="001659C1"/>
    <w:rsid w:val="00166F77"/>
    <w:rsid w:val="001679B1"/>
    <w:rsid w:val="00167B4A"/>
    <w:rsid w:val="00167C5E"/>
    <w:rsid w:val="00172E95"/>
    <w:rsid w:val="00173A8E"/>
    <w:rsid w:val="00173EDE"/>
    <w:rsid w:val="00174042"/>
    <w:rsid w:val="001746BF"/>
    <w:rsid w:val="00174871"/>
    <w:rsid w:val="00175298"/>
    <w:rsid w:val="00175C2D"/>
    <w:rsid w:val="00176426"/>
    <w:rsid w:val="00176B13"/>
    <w:rsid w:val="00176D1C"/>
    <w:rsid w:val="0017760E"/>
    <w:rsid w:val="00177795"/>
    <w:rsid w:val="001777B1"/>
    <w:rsid w:val="001779D9"/>
    <w:rsid w:val="00180F66"/>
    <w:rsid w:val="0018143F"/>
    <w:rsid w:val="00182989"/>
    <w:rsid w:val="0018381E"/>
    <w:rsid w:val="00185D8F"/>
    <w:rsid w:val="00185F96"/>
    <w:rsid w:val="001861C1"/>
    <w:rsid w:val="00186F6F"/>
    <w:rsid w:val="00190797"/>
    <w:rsid w:val="00190A6E"/>
    <w:rsid w:val="00190AC1"/>
    <w:rsid w:val="0019341A"/>
    <w:rsid w:val="0019445E"/>
    <w:rsid w:val="00194C77"/>
    <w:rsid w:val="00195D98"/>
    <w:rsid w:val="00197CAB"/>
    <w:rsid w:val="00197DF9"/>
    <w:rsid w:val="001A1987"/>
    <w:rsid w:val="001A1B2E"/>
    <w:rsid w:val="001A22D4"/>
    <w:rsid w:val="001A2564"/>
    <w:rsid w:val="001A27F3"/>
    <w:rsid w:val="001A3123"/>
    <w:rsid w:val="001A4406"/>
    <w:rsid w:val="001A45E1"/>
    <w:rsid w:val="001A50DB"/>
    <w:rsid w:val="001A6173"/>
    <w:rsid w:val="001A6CBA"/>
    <w:rsid w:val="001A6F11"/>
    <w:rsid w:val="001B0D97"/>
    <w:rsid w:val="001B11D6"/>
    <w:rsid w:val="001B3084"/>
    <w:rsid w:val="001B331B"/>
    <w:rsid w:val="001B3538"/>
    <w:rsid w:val="001B4CD3"/>
    <w:rsid w:val="001B52FF"/>
    <w:rsid w:val="001B5A5D"/>
    <w:rsid w:val="001B7D06"/>
    <w:rsid w:val="001C0488"/>
    <w:rsid w:val="001C1CE5"/>
    <w:rsid w:val="001C3D2A"/>
    <w:rsid w:val="001C4B32"/>
    <w:rsid w:val="001C4D9C"/>
    <w:rsid w:val="001C51ED"/>
    <w:rsid w:val="001C571F"/>
    <w:rsid w:val="001C6495"/>
    <w:rsid w:val="001C7313"/>
    <w:rsid w:val="001D0C1C"/>
    <w:rsid w:val="001D0D23"/>
    <w:rsid w:val="001D0FE1"/>
    <w:rsid w:val="001D1857"/>
    <w:rsid w:val="001D19EA"/>
    <w:rsid w:val="001D4BA3"/>
    <w:rsid w:val="001D51BA"/>
    <w:rsid w:val="001D6342"/>
    <w:rsid w:val="001D6D53"/>
    <w:rsid w:val="001D6E57"/>
    <w:rsid w:val="001D7474"/>
    <w:rsid w:val="001D7B6A"/>
    <w:rsid w:val="001D7BED"/>
    <w:rsid w:val="001D7E95"/>
    <w:rsid w:val="001E2531"/>
    <w:rsid w:val="001E4A2C"/>
    <w:rsid w:val="001E5394"/>
    <w:rsid w:val="001E55F6"/>
    <w:rsid w:val="001E58E2"/>
    <w:rsid w:val="001E786C"/>
    <w:rsid w:val="001E7AED"/>
    <w:rsid w:val="001F09C3"/>
    <w:rsid w:val="001F12F5"/>
    <w:rsid w:val="001F27AA"/>
    <w:rsid w:val="001F3916"/>
    <w:rsid w:val="001F3C26"/>
    <w:rsid w:val="001F54C5"/>
    <w:rsid w:val="001F5A00"/>
    <w:rsid w:val="001F61B2"/>
    <w:rsid w:val="001F662C"/>
    <w:rsid w:val="001F7074"/>
    <w:rsid w:val="001F7A2B"/>
    <w:rsid w:val="002000FA"/>
    <w:rsid w:val="00200490"/>
    <w:rsid w:val="00201F3A"/>
    <w:rsid w:val="00202D41"/>
    <w:rsid w:val="00203F96"/>
    <w:rsid w:val="00204B98"/>
    <w:rsid w:val="002050CD"/>
    <w:rsid w:val="00206361"/>
    <w:rsid w:val="002069B2"/>
    <w:rsid w:val="00207FA3"/>
    <w:rsid w:val="002103D0"/>
    <w:rsid w:val="00210DD5"/>
    <w:rsid w:val="002111A5"/>
    <w:rsid w:val="00212181"/>
    <w:rsid w:val="002121D1"/>
    <w:rsid w:val="00212C2F"/>
    <w:rsid w:val="00214DA8"/>
    <w:rsid w:val="00215423"/>
    <w:rsid w:val="002158FA"/>
    <w:rsid w:val="00220600"/>
    <w:rsid w:val="002224DB"/>
    <w:rsid w:val="0022381D"/>
    <w:rsid w:val="00223FCB"/>
    <w:rsid w:val="00224788"/>
    <w:rsid w:val="00224F76"/>
    <w:rsid w:val="00224FAD"/>
    <w:rsid w:val="002252C3"/>
    <w:rsid w:val="00225C54"/>
    <w:rsid w:val="00226DCC"/>
    <w:rsid w:val="0022706F"/>
    <w:rsid w:val="00227864"/>
    <w:rsid w:val="0023063D"/>
    <w:rsid w:val="00230765"/>
    <w:rsid w:val="002318DA"/>
    <w:rsid w:val="002319E4"/>
    <w:rsid w:val="00235632"/>
    <w:rsid w:val="0023570B"/>
    <w:rsid w:val="00235872"/>
    <w:rsid w:val="0023594F"/>
    <w:rsid w:val="00237D99"/>
    <w:rsid w:val="00241559"/>
    <w:rsid w:val="00241CDF"/>
    <w:rsid w:val="00241E03"/>
    <w:rsid w:val="00242028"/>
    <w:rsid w:val="0024275B"/>
    <w:rsid w:val="002435B3"/>
    <w:rsid w:val="002458EB"/>
    <w:rsid w:val="00247C38"/>
    <w:rsid w:val="00247FC0"/>
    <w:rsid w:val="002500C8"/>
    <w:rsid w:val="0025048B"/>
    <w:rsid w:val="0025234C"/>
    <w:rsid w:val="002548C2"/>
    <w:rsid w:val="00255369"/>
    <w:rsid w:val="002562CC"/>
    <w:rsid w:val="00256A50"/>
    <w:rsid w:val="00257543"/>
    <w:rsid w:val="0026126A"/>
    <w:rsid w:val="002617E7"/>
    <w:rsid w:val="00261FC8"/>
    <w:rsid w:val="002632EA"/>
    <w:rsid w:val="0026407E"/>
    <w:rsid w:val="00264228"/>
    <w:rsid w:val="00264334"/>
    <w:rsid w:val="0026473E"/>
    <w:rsid w:val="00265531"/>
    <w:rsid w:val="00266214"/>
    <w:rsid w:val="00266486"/>
    <w:rsid w:val="00266D1E"/>
    <w:rsid w:val="002675DA"/>
    <w:rsid w:val="00267C83"/>
    <w:rsid w:val="00267DA5"/>
    <w:rsid w:val="0027023D"/>
    <w:rsid w:val="00270C09"/>
    <w:rsid w:val="00271131"/>
    <w:rsid w:val="0027144F"/>
    <w:rsid w:val="00271F3A"/>
    <w:rsid w:val="00273278"/>
    <w:rsid w:val="002737F4"/>
    <w:rsid w:val="00275D61"/>
    <w:rsid w:val="00275E6F"/>
    <w:rsid w:val="002766B9"/>
    <w:rsid w:val="00276D3A"/>
    <w:rsid w:val="002771CA"/>
    <w:rsid w:val="002805F5"/>
    <w:rsid w:val="00280751"/>
    <w:rsid w:val="00281562"/>
    <w:rsid w:val="002818AE"/>
    <w:rsid w:val="00281DA0"/>
    <w:rsid w:val="0028280A"/>
    <w:rsid w:val="0028381E"/>
    <w:rsid w:val="0028539B"/>
    <w:rsid w:val="00285419"/>
    <w:rsid w:val="00285E0E"/>
    <w:rsid w:val="0028660A"/>
    <w:rsid w:val="00286988"/>
    <w:rsid w:val="00286ACD"/>
    <w:rsid w:val="00287838"/>
    <w:rsid w:val="00290395"/>
    <w:rsid w:val="002907B5"/>
    <w:rsid w:val="00290B96"/>
    <w:rsid w:val="00291CFD"/>
    <w:rsid w:val="002921D7"/>
    <w:rsid w:val="002927A5"/>
    <w:rsid w:val="002928D7"/>
    <w:rsid w:val="00292EB7"/>
    <w:rsid w:val="00294A1C"/>
    <w:rsid w:val="00295776"/>
    <w:rsid w:val="00296098"/>
    <w:rsid w:val="00296227"/>
    <w:rsid w:val="002963D9"/>
    <w:rsid w:val="00296925"/>
    <w:rsid w:val="00296F44"/>
    <w:rsid w:val="0029777D"/>
    <w:rsid w:val="002A055E"/>
    <w:rsid w:val="002A0732"/>
    <w:rsid w:val="002A089D"/>
    <w:rsid w:val="002A1D4E"/>
    <w:rsid w:val="002A2869"/>
    <w:rsid w:val="002A3399"/>
    <w:rsid w:val="002A3581"/>
    <w:rsid w:val="002A71B4"/>
    <w:rsid w:val="002B178D"/>
    <w:rsid w:val="002B24D6"/>
    <w:rsid w:val="002B2633"/>
    <w:rsid w:val="002B382E"/>
    <w:rsid w:val="002B3CD0"/>
    <w:rsid w:val="002B47F5"/>
    <w:rsid w:val="002B54C0"/>
    <w:rsid w:val="002B5A25"/>
    <w:rsid w:val="002B61D3"/>
    <w:rsid w:val="002B7B02"/>
    <w:rsid w:val="002C06C5"/>
    <w:rsid w:val="002C0994"/>
    <w:rsid w:val="002C1B96"/>
    <w:rsid w:val="002C41E6"/>
    <w:rsid w:val="002C51E9"/>
    <w:rsid w:val="002C6231"/>
    <w:rsid w:val="002C6631"/>
    <w:rsid w:val="002C760A"/>
    <w:rsid w:val="002C7C6B"/>
    <w:rsid w:val="002D071A"/>
    <w:rsid w:val="002D0735"/>
    <w:rsid w:val="002D2BB1"/>
    <w:rsid w:val="002D34B2"/>
    <w:rsid w:val="002D4706"/>
    <w:rsid w:val="002D7637"/>
    <w:rsid w:val="002E1358"/>
    <w:rsid w:val="002E15D6"/>
    <w:rsid w:val="002E17F2"/>
    <w:rsid w:val="002E1C49"/>
    <w:rsid w:val="002E4667"/>
    <w:rsid w:val="002E5EEB"/>
    <w:rsid w:val="002E7736"/>
    <w:rsid w:val="002E7CAE"/>
    <w:rsid w:val="002F1833"/>
    <w:rsid w:val="002F1854"/>
    <w:rsid w:val="002F26CC"/>
    <w:rsid w:val="002F2771"/>
    <w:rsid w:val="002F2B42"/>
    <w:rsid w:val="002F37A9"/>
    <w:rsid w:val="002F3A38"/>
    <w:rsid w:val="002F450C"/>
    <w:rsid w:val="002F5277"/>
    <w:rsid w:val="002F7B0A"/>
    <w:rsid w:val="002F7B2C"/>
    <w:rsid w:val="00301CE6"/>
    <w:rsid w:val="0030256B"/>
    <w:rsid w:val="0030501F"/>
    <w:rsid w:val="0030580F"/>
    <w:rsid w:val="00305A5F"/>
    <w:rsid w:val="003069E5"/>
    <w:rsid w:val="00306E7D"/>
    <w:rsid w:val="00307BA1"/>
    <w:rsid w:val="00307BA2"/>
    <w:rsid w:val="00307F4E"/>
    <w:rsid w:val="00310C2E"/>
    <w:rsid w:val="00311702"/>
    <w:rsid w:val="00311E82"/>
    <w:rsid w:val="0031257E"/>
    <w:rsid w:val="00313FD6"/>
    <w:rsid w:val="003143BD"/>
    <w:rsid w:val="003152FA"/>
    <w:rsid w:val="0031689F"/>
    <w:rsid w:val="0031754D"/>
    <w:rsid w:val="00317C7C"/>
    <w:rsid w:val="003203ED"/>
    <w:rsid w:val="00322C9F"/>
    <w:rsid w:val="00322E6A"/>
    <w:rsid w:val="003248D0"/>
    <w:rsid w:val="00324D23"/>
    <w:rsid w:val="00324FBA"/>
    <w:rsid w:val="0032552A"/>
    <w:rsid w:val="00331751"/>
    <w:rsid w:val="003320E0"/>
    <w:rsid w:val="00332CC5"/>
    <w:rsid w:val="0033366F"/>
    <w:rsid w:val="00334579"/>
    <w:rsid w:val="00335205"/>
    <w:rsid w:val="00335858"/>
    <w:rsid w:val="00336BDA"/>
    <w:rsid w:val="00336D50"/>
    <w:rsid w:val="00340392"/>
    <w:rsid w:val="00340D67"/>
    <w:rsid w:val="003421B6"/>
    <w:rsid w:val="00342BD7"/>
    <w:rsid w:val="00343A07"/>
    <w:rsid w:val="00344908"/>
    <w:rsid w:val="00346DB5"/>
    <w:rsid w:val="00346DEA"/>
    <w:rsid w:val="003477B1"/>
    <w:rsid w:val="00347E07"/>
    <w:rsid w:val="00350837"/>
    <w:rsid w:val="00350B22"/>
    <w:rsid w:val="00352521"/>
    <w:rsid w:val="0035445E"/>
    <w:rsid w:val="0035482C"/>
    <w:rsid w:val="00357380"/>
    <w:rsid w:val="003602D9"/>
    <w:rsid w:val="003604CE"/>
    <w:rsid w:val="003604D3"/>
    <w:rsid w:val="00360EF6"/>
    <w:rsid w:val="00360F70"/>
    <w:rsid w:val="00361217"/>
    <w:rsid w:val="0036228D"/>
    <w:rsid w:val="003627DB"/>
    <w:rsid w:val="0036397F"/>
    <w:rsid w:val="0036484B"/>
    <w:rsid w:val="00366170"/>
    <w:rsid w:val="00367A87"/>
    <w:rsid w:val="00370E47"/>
    <w:rsid w:val="00371F8F"/>
    <w:rsid w:val="00372782"/>
    <w:rsid w:val="00372B38"/>
    <w:rsid w:val="00373BE0"/>
    <w:rsid w:val="003742AC"/>
    <w:rsid w:val="00374C68"/>
    <w:rsid w:val="00375033"/>
    <w:rsid w:val="00375B89"/>
    <w:rsid w:val="003770FA"/>
    <w:rsid w:val="00377CE1"/>
    <w:rsid w:val="003808EE"/>
    <w:rsid w:val="00382A87"/>
    <w:rsid w:val="0038380E"/>
    <w:rsid w:val="00384811"/>
    <w:rsid w:val="00385BF0"/>
    <w:rsid w:val="003871CC"/>
    <w:rsid w:val="00387728"/>
    <w:rsid w:val="00387FC0"/>
    <w:rsid w:val="003918FE"/>
    <w:rsid w:val="003939FF"/>
    <w:rsid w:val="003944CB"/>
    <w:rsid w:val="00394A40"/>
    <w:rsid w:val="00397347"/>
    <w:rsid w:val="00397EDE"/>
    <w:rsid w:val="003A13F1"/>
    <w:rsid w:val="003A2223"/>
    <w:rsid w:val="003A24A0"/>
    <w:rsid w:val="003A2A0F"/>
    <w:rsid w:val="003A4095"/>
    <w:rsid w:val="003A45A1"/>
    <w:rsid w:val="003A49A8"/>
    <w:rsid w:val="003A5B0A"/>
    <w:rsid w:val="003A6BAC"/>
    <w:rsid w:val="003A6F1A"/>
    <w:rsid w:val="003A78C5"/>
    <w:rsid w:val="003A7EF3"/>
    <w:rsid w:val="003B159C"/>
    <w:rsid w:val="003B299D"/>
    <w:rsid w:val="003B369F"/>
    <w:rsid w:val="003B36A3"/>
    <w:rsid w:val="003B3E41"/>
    <w:rsid w:val="003B3EA3"/>
    <w:rsid w:val="003B7C76"/>
    <w:rsid w:val="003B7FE5"/>
    <w:rsid w:val="003C0B4C"/>
    <w:rsid w:val="003C11C8"/>
    <w:rsid w:val="003C1E5E"/>
    <w:rsid w:val="003C2702"/>
    <w:rsid w:val="003C52E6"/>
    <w:rsid w:val="003C6C5D"/>
    <w:rsid w:val="003C7223"/>
    <w:rsid w:val="003C7806"/>
    <w:rsid w:val="003D109F"/>
    <w:rsid w:val="003D1135"/>
    <w:rsid w:val="003D212D"/>
    <w:rsid w:val="003D2478"/>
    <w:rsid w:val="003D2FC4"/>
    <w:rsid w:val="003D396E"/>
    <w:rsid w:val="003D3C45"/>
    <w:rsid w:val="003D4F84"/>
    <w:rsid w:val="003D5B1F"/>
    <w:rsid w:val="003D67E8"/>
    <w:rsid w:val="003D6E50"/>
    <w:rsid w:val="003D6FFC"/>
    <w:rsid w:val="003D71CF"/>
    <w:rsid w:val="003E075B"/>
    <w:rsid w:val="003E0AB6"/>
    <w:rsid w:val="003E0ED2"/>
    <w:rsid w:val="003E15FA"/>
    <w:rsid w:val="003E3C88"/>
    <w:rsid w:val="003E4119"/>
    <w:rsid w:val="003E4DEB"/>
    <w:rsid w:val="003E55E4"/>
    <w:rsid w:val="003E57AD"/>
    <w:rsid w:val="003E6C23"/>
    <w:rsid w:val="003E74E3"/>
    <w:rsid w:val="003F05C7"/>
    <w:rsid w:val="003F0C04"/>
    <w:rsid w:val="003F2CD4"/>
    <w:rsid w:val="003F6BBE"/>
    <w:rsid w:val="004000E8"/>
    <w:rsid w:val="00402E2B"/>
    <w:rsid w:val="00403EC1"/>
    <w:rsid w:val="0040512B"/>
    <w:rsid w:val="00405CA5"/>
    <w:rsid w:val="0040665C"/>
    <w:rsid w:val="00407882"/>
    <w:rsid w:val="00407CD3"/>
    <w:rsid w:val="00410134"/>
    <w:rsid w:val="00410B72"/>
    <w:rsid w:val="00410F18"/>
    <w:rsid w:val="00412269"/>
    <w:rsid w:val="0041263E"/>
    <w:rsid w:val="004128FF"/>
    <w:rsid w:val="00413317"/>
    <w:rsid w:val="004133D5"/>
    <w:rsid w:val="00413AAC"/>
    <w:rsid w:val="00413BD8"/>
    <w:rsid w:val="00414A7E"/>
    <w:rsid w:val="00414E93"/>
    <w:rsid w:val="00415B3C"/>
    <w:rsid w:val="00420341"/>
    <w:rsid w:val="00421105"/>
    <w:rsid w:val="00421833"/>
    <w:rsid w:val="00422453"/>
    <w:rsid w:val="00423467"/>
    <w:rsid w:val="004242F4"/>
    <w:rsid w:val="0042475D"/>
    <w:rsid w:val="00425726"/>
    <w:rsid w:val="00426568"/>
    <w:rsid w:val="00426EA4"/>
    <w:rsid w:val="00427248"/>
    <w:rsid w:val="0043026C"/>
    <w:rsid w:val="00431A37"/>
    <w:rsid w:val="004320B0"/>
    <w:rsid w:val="00433CBF"/>
    <w:rsid w:val="0043440A"/>
    <w:rsid w:val="00434D7B"/>
    <w:rsid w:val="00437447"/>
    <w:rsid w:val="00437507"/>
    <w:rsid w:val="00437698"/>
    <w:rsid w:val="00441A92"/>
    <w:rsid w:val="00441F13"/>
    <w:rsid w:val="004423F6"/>
    <w:rsid w:val="00443A2F"/>
    <w:rsid w:val="00444388"/>
    <w:rsid w:val="00444F56"/>
    <w:rsid w:val="00446488"/>
    <w:rsid w:val="004474DA"/>
    <w:rsid w:val="0045068D"/>
    <w:rsid w:val="004517AA"/>
    <w:rsid w:val="00451974"/>
    <w:rsid w:val="00452605"/>
    <w:rsid w:val="00452A55"/>
    <w:rsid w:val="00452CAC"/>
    <w:rsid w:val="004530AF"/>
    <w:rsid w:val="004534F6"/>
    <w:rsid w:val="00453E88"/>
    <w:rsid w:val="004543BB"/>
    <w:rsid w:val="00456D11"/>
    <w:rsid w:val="00456D36"/>
    <w:rsid w:val="00457565"/>
    <w:rsid w:val="00457B71"/>
    <w:rsid w:val="004618B1"/>
    <w:rsid w:val="004624B2"/>
    <w:rsid w:val="00462DFC"/>
    <w:rsid w:val="00465F3A"/>
    <w:rsid w:val="004669E2"/>
    <w:rsid w:val="00466B8E"/>
    <w:rsid w:val="0046707B"/>
    <w:rsid w:val="00470C31"/>
    <w:rsid w:val="00470D03"/>
    <w:rsid w:val="00471ECF"/>
    <w:rsid w:val="004734D0"/>
    <w:rsid w:val="0047482A"/>
    <w:rsid w:val="00474F6C"/>
    <w:rsid w:val="004751A4"/>
    <w:rsid w:val="0047556B"/>
    <w:rsid w:val="00475892"/>
    <w:rsid w:val="004763FF"/>
    <w:rsid w:val="00477768"/>
    <w:rsid w:val="00481187"/>
    <w:rsid w:val="00481773"/>
    <w:rsid w:val="0048469C"/>
    <w:rsid w:val="004852AE"/>
    <w:rsid w:val="00486614"/>
    <w:rsid w:val="0049062D"/>
    <w:rsid w:val="0049090A"/>
    <w:rsid w:val="00492BC5"/>
    <w:rsid w:val="00493697"/>
    <w:rsid w:val="004944FB"/>
    <w:rsid w:val="00495BEC"/>
    <w:rsid w:val="004964F1"/>
    <w:rsid w:val="004A012E"/>
    <w:rsid w:val="004A01A5"/>
    <w:rsid w:val="004A07FE"/>
    <w:rsid w:val="004A16BC"/>
    <w:rsid w:val="004A2901"/>
    <w:rsid w:val="004A2B94"/>
    <w:rsid w:val="004A3D16"/>
    <w:rsid w:val="004A49EF"/>
    <w:rsid w:val="004A538D"/>
    <w:rsid w:val="004A5DB4"/>
    <w:rsid w:val="004A67A9"/>
    <w:rsid w:val="004A73FE"/>
    <w:rsid w:val="004B1AD1"/>
    <w:rsid w:val="004B2138"/>
    <w:rsid w:val="004B5D48"/>
    <w:rsid w:val="004B6410"/>
    <w:rsid w:val="004B6BB9"/>
    <w:rsid w:val="004B766F"/>
    <w:rsid w:val="004B7C0C"/>
    <w:rsid w:val="004B7F35"/>
    <w:rsid w:val="004C01E2"/>
    <w:rsid w:val="004C33F3"/>
    <w:rsid w:val="004C3898"/>
    <w:rsid w:val="004D0F8A"/>
    <w:rsid w:val="004D22D7"/>
    <w:rsid w:val="004D2E40"/>
    <w:rsid w:val="004D36B1"/>
    <w:rsid w:val="004D4EEA"/>
    <w:rsid w:val="004D670A"/>
    <w:rsid w:val="004D6991"/>
    <w:rsid w:val="004D7CCE"/>
    <w:rsid w:val="004D7EBD"/>
    <w:rsid w:val="004E12C9"/>
    <w:rsid w:val="004E1C15"/>
    <w:rsid w:val="004E2680"/>
    <w:rsid w:val="004E26C4"/>
    <w:rsid w:val="004E26E3"/>
    <w:rsid w:val="004E28F9"/>
    <w:rsid w:val="004E37AD"/>
    <w:rsid w:val="004E462E"/>
    <w:rsid w:val="004E56DC"/>
    <w:rsid w:val="004E572E"/>
    <w:rsid w:val="004E62BF"/>
    <w:rsid w:val="004E76F4"/>
    <w:rsid w:val="004F059A"/>
    <w:rsid w:val="004F0B4E"/>
    <w:rsid w:val="004F0B6C"/>
    <w:rsid w:val="004F0E59"/>
    <w:rsid w:val="004F0F42"/>
    <w:rsid w:val="004F2078"/>
    <w:rsid w:val="004F2C09"/>
    <w:rsid w:val="004F3A07"/>
    <w:rsid w:val="004F3C01"/>
    <w:rsid w:val="004F4DA3"/>
    <w:rsid w:val="004F5628"/>
    <w:rsid w:val="004F7356"/>
    <w:rsid w:val="004F73D9"/>
    <w:rsid w:val="00500D7E"/>
    <w:rsid w:val="00504181"/>
    <w:rsid w:val="005043F8"/>
    <w:rsid w:val="00506557"/>
    <w:rsid w:val="0050677A"/>
    <w:rsid w:val="005070DE"/>
    <w:rsid w:val="005108D8"/>
    <w:rsid w:val="005116F9"/>
    <w:rsid w:val="00511E6F"/>
    <w:rsid w:val="005153A7"/>
    <w:rsid w:val="005161FA"/>
    <w:rsid w:val="00516425"/>
    <w:rsid w:val="00517F79"/>
    <w:rsid w:val="005219CF"/>
    <w:rsid w:val="005222F2"/>
    <w:rsid w:val="00522BFB"/>
    <w:rsid w:val="00524BE4"/>
    <w:rsid w:val="00525549"/>
    <w:rsid w:val="005257B7"/>
    <w:rsid w:val="005269A3"/>
    <w:rsid w:val="005313B4"/>
    <w:rsid w:val="00531AC7"/>
    <w:rsid w:val="00532B98"/>
    <w:rsid w:val="00533622"/>
    <w:rsid w:val="00533E74"/>
    <w:rsid w:val="00534B59"/>
    <w:rsid w:val="005364E3"/>
    <w:rsid w:val="00536759"/>
    <w:rsid w:val="00537C62"/>
    <w:rsid w:val="00543420"/>
    <w:rsid w:val="00543E36"/>
    <w:rsid w:val="00545DCE"/>
    <w:rsid w:val="00545F16"/>
    <w:rsid w:val="00546970"/>
    <w:rsid w:val="005472F4"/>
    <w:rsid w:val="00551512"/>
    <w:rsid w:val="00552848"/>
    <w:rsid w:val="00554978"/>
    <w:rsid w:val="00554E19"/>
    <w:rsid w:val="0055565E"/>
    <w:rsid w:val="005561E8"/>
    <w:rsid w:val="0055625F"/>
    <w:rsid w:val="00557A53"/>
    <w:rsid w:val="00560901"/>
    <w:rsid w:val="00560A38"/>
    <w:rsid w:val="00560BBC"/>
    <w:rsid w:val="005611B3"/>
    <w:rsid w:val="0056121F"/>
    <w:rsid w:val="00561CD5"/>
    <w:rsid w:val="00562FB5"/>
    <w:rsid w:val="00563378"/>
    <w:rsid w:val="0056355A"/>
    <w:rsid w:val="00563A30"/>
    <w:rsid w:val="00564463"/>
    <w:rsid w:val="00564922"/>
    <w:rsid w:val="00565C59"/>
    <w:rsid w:val="00565F8B"/>
    <w:rsid w:val="0057163C"/>
    <w:rsid w:val="00572505"/>
    <w:rsid w:val="00572748"/>
    <w:rsid w:val="005739D3"/>
    <w:rsid w:val="00574825"/>
    <w:rsid w:val="005754AF"/>
    <w:rsid w:val="005756B5"/>
    <w:rsid w:val="00575A29"/>
    <w:rsid w:val="00576599"/>
    <w:rsid w:val="005803A8"/>
    <w:rsid w:val="00580706"/>
    <w:rsid w:val="00580A36"/>
    <w:rsid w:val="0058130C"/>
    <w:rsid w:val="0058151C"/>
    <w:rsid w:val="00581BBF"/>
    <w:rsid w:val="00582809"/>
    <w:rsid w:val="00583CC4"/>
    <w:rsid w:val="00585F50"/>
    <w:rsid w:val="00586308"/>
    <w:rsid w:val="00586B0A"/>
    <w:rsid w:val="00586C5B"/>
    <w:rsid w:val="005872B4"/>
    <w:rsid w:val="0058798C"/>
    <w:rsid w:val="005900FA"/>
    <w:rsid w:val="00590966"/>
    <w:rsid w:val="00592219"/>
    <w:rsid w:val="00592BA2"/>
    <w:rsid w:val="005935A4"/>
    <w:rsid w:val="005948C2"/>
    <w:rsid w:val="00595DCA"/>
    <w:rsid w:val="0059779B"/>
    <w:rsid w:val="005A0754"/>
    <w:rsid w:val="005A0A90"/>
    <w:rsid w:val="005A154E"/>
    <w:rsid w:val="005A209A"/>
    <w:rsid w:val="005A279A"/>
    <w:rsid w:val="005A38B4"/>
    <w:rsid w:val="005A5B97"/>
    <w:rsid w:val="005A5FF1"/>
    <w:rsid w:val="005A662D"/>
    <w:rsid w:val="005B0502"/>
    <w:rsid w:val="005B0619"/>
    <w:rsid w:val="005B0948"/>
    <w:rsid w:val="005B1B46"/>
    <w:rsid w:val="005B35D7"/>
    <w:rsid w:val="005B3844"/>
    <w:rsid w:val="005B392A"/>
    <w:rsid w:val="005B3AA3"/>
    <w:rsid w:val="005B3DBD"/>
    <w:rsid w:val="005B4EED"/>
    <w:rsid w:val="005B4F0C"/>
    <w:rsid w:val="005B648D"/>
    <w:rsid w:val="005B6F83"/>
    <w:rsid w:val="005C4803"/>
    <w:rsid w:val="005C5652"/>
    <w:rsid w:val="005C5A52"/>
    <w:rsid w:val="005C74FB"/>
    <w:rsid w:val="005D01EA"/>
    <w:rsid w:val="005D0A8A"/>
    <w:rsid w:val="005D1602"/>
    <w:rsid w:val="005D2288"/>
    <w:rsid w:val="005D6A66"/>
    <w:rsid w:val="005D6E6E"/>
    <w:rsid w:val="005E36DB"/>
    <w:rsid w:val="005E385F"/>
    <w:rsid w:val="005E43F4"/>
    <w:rsid w:val="005E5647"/>
    <w:rsid w:val="005E5B81"/>
    <w:rsid w:val="005E6967"/>
    <w:rsid w:val="005F04FA"/>
    <w:rsid w:val="005F082E"/>
    <w:rsid w:val="005F0A1C"/>
    <w:rsid w:val="005F1E45"/>
    <w:rsid w:val="005F2CB1"/>
    <w:rsid w:val="005F3025"/>
    <w:rsid w:val="005F4649"/>
    <w:rsid w:val="005F55DC"/>
    <w:rsid w:val="005F587D"/>
    <w:rsid w:val="005F607B"/>
    <w:rsid w:val="005F618C"/>
    <w:rsid w:val="005F6F31"/>
    <w:rsid w:val="005F70BD"/>
    <w:rsid w:val="0060283C"/>
    <w:rsid w:val="00604F14"/>
    <w:rsid w:val="0060542E"/>
    <w:rsid w:val="00607A0A"/>
    <w:rsid w:val="00607F8A"/>
    <w:rsid w:val="00610751"/>
    <w:rsid w:val="00611B83"/>
    <w:rsid w:val="00613257"/>
    <w:rsid w:val="00616832"/>
    <w:rsid w:val="00620A71"/>
    <w:rsid w:val="00620AD3"/>
    <w:rsid w:val="00620D80"/>
    <w:rsid w:val="00621469"/>
    <w:rsid w:val="00622786"/>
    <w:rsid w:val="006234A6"/>
    <w:rsid w:val="00624461"/>
    <w:rsid w:val="006248C0"/>
    <w:rsid w:val="00624BE0"/>
    <w:rsid w:val="00624D23"/>
    <w:rsid w:val="00625D08"/>
    <w:rsid w:val="00630001"/>
    <w:rsid w:val="006311B3"/>
    <w:rsid w:val="0063276E"/>
    <w:rsid w:val="0063284C"/>
    <w:rsid w:val="00632A07"/>
    <w:rsid w:val="00633B7A"/>
    <w:rsid w:val="00634895"/>
    <w:rsid w:val="00635365"/>
    <w:rsid w:val="00636398"/>
    <w:rsid w:val="006368D3"/>
    <w:rsid w:val="006377EC"/>
    <w:rsid w:val="006378B2"/>
    <w:rsid w:val="00640CE9"/>
    <w:rsid w:val="0064151F"/>
    <w:rsid w:val="00641533"/>
    <w:rsid w:val="006415C1"/>
    <w:rsid w:val="0064208D"/>
    <w:rsid w:val="00643475"/>
    <w:rsid w:val="00643571"/>
    <w:rsid w:val="0064396A"/>
    <w:rsid w:val="00644C30"/>
    <w:rsid w:val="0064624E"/>
    <w:rsid w:val="00650AB9"/>
    <w:rsid w:val="00651F50"/>
    <w:rsid w:val="00651F5E"/>
    <w:rsid w:val="00652933"/>
    <w:rsid w:val="0065469C"/>
    <w:rsid w:val="00654B22"/>
    <w:rsid w:val="0065535A"/>
    <w:rsid w:val="00655733"/>
    <w:rsid w:val="00655ACD"/>
    <w:rsid w:val="00656A92"/>
    <w:rsid w:val="00656DDE"/>
    <w:rsid w:val="00657864"/>
    <w:rsid w:val="0066011D"/>
    <w:rsid w:val="006607C0"/>
    <w:rsid w:val="006613A6"/>
    <w:rsid w:val="006627A2"/>
    <w:rsid w:val="006634E6"/>
    <w:rsid w:val="006655EE"/>
    <w:rsid w:val="0066645C"/>
    <w:rsid w:val="00667EE7"/>
    <w:rsid w:val="00670922"/>
    <w:rsid w:val="00670A3D"/>
    <w:rsid w:val="00670BE1"/>
    <w:rsid w:val="0067218F"/>
    <w:rsid w:val="006741F2"/>
    <w:rsid w:val="00674CC3"/>
    <w:rsid w:val="00675603"/>
    <w:rsid w:val="00675C72"/>
    <w:rsid w:val="006771F9"/>
    <w:rsid w:val="006776D7"/>
    <w:rsid w:val="00677985"/>
    <w:rsid w:val="00681003"/>
    <w:rsid w:val="006817C9"/>
    <w:rsid w:val="00683ECE"/>
    <w:rsid w:val="00685BF1"/>
    <w:rsid w:val="00685D97"/>
    <w:rsid w:val="00686697"/>
    <w:rsid w:val="00686976"/>
    <w:rsid w:val="0069070C"/>
    <w:rsid w:val="00690DB5"/>
    <w:rsid w:val="006911C1"/>
    <w:rsid w:val="006912C6"/>
    <w:rsid w:val="00693B03"/>
    <w:rsid w:val="00695FC2"/>
    <w:rsid w:val="00696949"/>
    <w:rsid w:val="00697052"/>
    <w:rsid w:val="006A3AE8"/>
    <w:rsid w:val="006A41ED"/>
    <w:rsid w:val="006A46FB"/>
    <w:rsid w:val="006A5E28"/>
    <w:rsid w:val="006A697B"/>
    <w:rsid w:val="006A7AFF"/>
    <w:rsid w:val="006B138E"/>
    <w:rsid w:val="006B1816"/>
    <w:rsid w:val="006B2090"/>
    <w:rsid w:val="006B2099"/>
    <w:rsid w:val="006B50CF"/>
    <w:rsid w:val="006B5618"/>
    <w:rsid w:val="006C03B8"/>
    <w:rsid w:val="006C17A8"/>
    <w:rsid w:val="006C261A"/>
    <w:rsid w:val="006C3C6D"/>
    <w:rsid w:val="006C5503"/>
    <w:rsid w:val="006C5EC9"/>
    <w:rsid w:val="006C6059"/>
    <w:rsid w:val="006C6F36"/>
    <w:rsid w:val="006C7522"/>
    <w:rsid w:val="006D121A"/>
    <w:rsid w:val="006D3D2C"/>
    <w:rsid w:val="006D3EE5"/>
    <w:rsid w:val="006D5D9D"/>
    <w:rsid w:val="006D6F08"/>
    <w:rsid w:val="006D7069"/>
    <w:rsid w:val="006E062C"/>
    <w:rsid w:val="006E28B7"/>
    <w:rsid w:val="006E3310"/>
    <w:rsid w:val="006E3AA4"/>
    <w:rsid w:val="006E4E39"/>
    <w:rsid w:val="006E565E"/>
    <w:rsid w:val="006E6039"/>
    <w:rsid w:val="006E673D"/>
    <w:rsid w:val="006E7402"/>
    <w:rsid w:val="006E77AE"/>
    <w:rsid w:val="006E7D3B"/>
    <w:rsid w:val="006F06BB"/>
    <w:rsid w:val="006F1634"/>
    <w:rsid w:val="006F1B70"/>
    <w:rsid w:val="006F341D"/>
    <w:rsid w:val="006F3CDE"/>
    <w:rsid w:val="006F58D4"/>
    <w:rsid w:val="006F6A4C"/>
    <w:rsid w:val="00701AAC"/>
    <w:rsid w:val="00703330"/>
    <w:rsid w:val="007033F9"/>
    <w:rsid w:val="0070346E"/>
    <w:rsid w:val="00703686"/>
    <w:rsid w:val="0070386E"/>
    <w:rsid w:val="007043FB"/>
    <w:rsid w:val="00704EDB"/>
    <w:rsid w:val="0070537F"/>
    <w:rsid w:val="00706101"/>
    <w:rsid w:val="00707072"/>
    <w:rsid w:val="007076D8"/>
    <w:rsid w:val="00707D61"/>
    <w:rsid w:val="00712287"/>
    <w:rsid w:val="00712772"/>
    <w:rsid w:val="007148D3"/>
    <w:rsid w:val="00714D56"/>
    <w:rsid w:val="00715765"/>
    <w:rsid w:val="00715B9A"/>
    <w:rsid w:val="00720BB4"/>
    <w:rsid w:val="00720EB9"/>
    <w:rsid w:val="00721475"/>
    <w:rsid w:val="00721593"/>
    <w:rsid w:val="00723E7A"/>
    <w:rsid w:val="00723FB5"/>
    <w:rsid w:val="00724908"/>
    <w:rsid w:val="00726AB4"/>
    <w:rsid w:val="00726EA6"/>
    <w:rsid w:val="00727208"/>
    <w:rsid w:val="00727680"/>
    <w:rsid w:val="00727A39"/>
    <w:rsid w:val="00727F66"/>
    <w:rsid w:val="00731447"/>
    <w:rsid w:val="00731732"/>
    <w:rsid w:val="00731BAB"/>
    <w:rsid w:val="0073322E"/>
    <w:rsid w:val="00733B2B"/>
    <w:rsid w:val="00734168"/>
    <w:rsid w:val="007348B1"/>
    <w:rsid w:val="00734B23"/>
    <w:rsid w:val="00735DFF"/>
    <w:rsid w:val="007362A6"/>
    <w:rsid w:val="0073690D"/>
    <w:rsid w:val="00736B85"/>
    <w:rsid w:val="00736D7D"/>
    <w:rsid w:val="0074070A"/>
    <w:rsid w:val="00740E58"/>
    <w:rsid w:val="00742EBB"/>
    <w:rsid w:val="007445A0"/>
    <w:rsid w:val="0074524B"/>
    <w:rsid w:val="0074796A"/>
    <w:rsid w:val="00747D8B"/>
    <w:rsid w:val="00750116"/>
    <w:rsid w:val="0075037A"/>
    <w:rsid w:val="007510AF"/>
    <w:rsid w:val="00751228"/>
    <w:rsid w:val="00752EB7"/>
    <w:rsid w:val="00753A1A"/>
    <w:rsid w:val="00754233"/>
    <w:rsid w:val="0075470A"/>
    <w:rsid w:val="00756248"/>
    <w:rsid w:val="007571E1"/>
    <w:rsid w:val="0075785D"/>
    <w:rsid w:val="0075787C"/>
    <w:rsid w:val="007604B2"/>
    <w:rsid w:val="007622DB"/>
    <w:rsid w:val="00763EC7"/>
    <w:rsid w:val="00765281"/>
    <w:rsid w:val="007654E6"/>
    <w:rsid w:val="0076559B"/>
    <w:rsid w:val="00765CAE"/>
    <w:rsid w:val="007667EA"/>
    <w:rsid w:val="00766BAD"/>
    <w:rsid w:val="00767A76"/>
    <w:rsid w:val="00770F15"/>
    <w:rsid w:val="007714D4"/>
    <w:rsid w:val="00771F74"/>
    <w:rsid w:val="00772779"/>
    <w:rsid w:val="007730BD"/>
    <w:rsid w:val="00774E39"/>
    <w:rsid w:val="007755F2"/>
    <w:rsid w:val="0077624A"/>
    <w:rsid w:val="00776971"/>
    <w:rsid w:val="00777F69"/>
    <w:rsid w:val="0078177E"/>
    <w:rsid w:val="00781D85"/>
    <w:rsid w:val="00782BD0"/>
    <w:rsid w:val="0078304C"/>
    <w:rsid w:val="0078338F"/>
    <w:rsid w:val="00783673"/>
    <w:rsid w:val="00784B6E"/>
    <w:rsid w:val="0078540C"/>
    <w:rsid w:val="00785490"/>
    <w:rsid w:val="00786636"/>
    <w:rsid w:val="00786C67"/>
    <w:rsid w:val="0078740D"/>
    <w:rsid w:val="00787F86"/>
    <w:rsid w:val="007901B4"/>
    <w:rsid w:val="007925EA"/>
    <w:rsid w:val="00792638"/>
    <w:rsid w:val="00793CD8"/>
    <w:rsid w:val="00795C92"/>
    <w:rsid w:val="00796231"/>
    <w:rsid w:val="00796892"/>
    <w:rsid w:val="00797ACB"/>
    <w:rsid w:val="007A0A8F"/>
    <w:rsid w:val="007A0F6A"/>
    <w:rsid w:val="007A1821"/>
    <w:rsid w:val="007A1CB3"/>
    <w:rsid w:val="007A1E44"/>
    <w:rsid w:val="007A1FE0"/>
    <w:rsid w:val="007A306F"/>
    <w:rsid w:val="007A388C"/>
    <w:rsid w:val="007A43A6"/>
    <w:rsid w:val="007A58A6"/>
    <w:rsid w:val="007A68B6"/>
    <w:rsid w:val="007A6E6D"/>
    <w:rsid w:val="007A75D9"/>
    <w:rsid w:val="007A7E25"/>
    <w:rsid w:val="007B315E"/>
    <w:rsid w:val="007B3D2D"/>
    <w:rsid w:val="007B50AE"/>
    <w:rsid w:val="007B51DF"/>
    <w:rsid w:val="007B5224"/>
    <w:rsid w:val="007C00D7"/>
    <w:rsid w:val="007C05DD"/>
    <w:rsid w:val="007C0CC1"/>
    <w:rsid w:val="007C17D3"/>
    <w:rsid w:val="007C1E10"/>
    <w:rsid w:val="007C25B7"/>
    <w:rsid w:val="007C274C"/>
    <w:rsid w:val="007C3D18"/>
    <w:rsid w:val="007C60BF"/>
    <w:rsid w:val="007C67DF"/>
    <w:rsid w:val="007C6A07"/>
    <w:rsid w:val="007C75A1"/>
    <w:rsid w:val="007C77A5"/>
    <w:rsid w:val="007C7F8D"/>
    <w:rsid w:val="007D0422"/>
    <w:rsid w:val="007D04E5"/>
    <w:rsid w:val="007D46D5"/>
    <w:rsid w:val="007D5901"/>
    <w:rsid w:val="007D61B7"/>
    <w:rsid w:val="007D67DE"/>
    <w:rsid w:val="007D7526"/>
    <w:rsid w:val="007D7B6D"/>
    <w:rsid w:val="007E037D"/>
    <w:rsid w:val="007E4610"/>
    <w:rsid w:val="007E4715"/>
    <w:rsid w:val="007E505B"/>
    <w:rsid w:val="007E7091"/>
    <w:rsid w:val="007E7BF0"/>
    <w:rsid w:val="007F0D3B"/>
    <w:rsid w:val="007F0D53"/>
    <w:rsid w:val="007F0F67"/>
    <w:rsid w:val="007F1E05"/>
    <w:rsid w:val="007F41C2"/>
    <w:rsid w:val="007F5674"/>
    <w:rsid w:val="007F56DB"/>
    <w:rsid w:val="007F5B02"/>
    <w:rsid w:val="007F6FE9"/>
    <w:rsid w:val="00802F8A"/>
    <w:rsid w:val="00803FAE"/>
    <w:rsid w:val="00804929"/>
    <w:rsid w:val="00804966"/>
    <w:rsid w:val="008051A7"/>
    <w:rsid w:val="0080605F"/>
    <w:rsid w:val="00807786"/>
    <w:rsid w:val="00807F80"/>
    <w:rsid w:val="00811FCB"/>
    <w:rsid w:val="008124D7"/>
    <w:rsid w:val="008158D6"/>
    <w:rsid w:val="00815F26"/>
    <w:rsid w:val="00817196"/>
    <w:rsid w:val="0082045F"/>
    <w:rsid w:val="00820CE8"/>
    <w:rsid w:val="00821855"/>
    <w:rsid w:val="00821AB7"/>
    <w:rsid w:val="00821CCB"/>
    <w:rsid w:val="008235DB"/>
    <w:rsid w:val="00824523"/>
    <w:rsid w:val="00824718"/>
    <w:rsid w:val="00824AB4"/>
    <w:rsid w:val="00825C42"/>
    <w:rsid w:val="00825D25"/>
    <w:rsid w:val="008261C1"/>
    <w:rsid w:val="008263DE"/>
    <w:rsid w:val="00826447"/>
    <w:rsid w:val="00827D6F"/>
    <w:rsid w:val="0083060B"/>
    <w:rsid w:val="00830A45"/>
    <w:rsid w:val="00833194"/>
    <w:rsid w:val="008354DB"/>
    <w:rsid w:val="0083669F"/>
    <w:rsid w:val="008376AC"/>
    <w:rsid w:val="0084118A"/>
    <w:rsid w:val="00843D66"/>
    <w:rsid w:val="008444E8"/>
    <w:rsid w:val="00844A79"/>
    <w:rsid w:val="00844E64"/>
    <w:rsid w:val="00844E80"/>
    <w:rsid w:val="008453FE"/>
    <w:rsid w:val="008462D1"/>
    <w:rsid w:val="00846FE7"/>
    <w:rsid w:val="008479D9"/>
    <w:rsid w:val="008506A7"/>
    <w:rsid w:val="00850CEC"/>
    <w:rsid w:val="00851A28"/>
    <w:rsid w:val="00851DB7"/>
    <w:rsid w:val="00852F7E"/>
    <w:rsid w:val="00853FBA"/>
    <w:rsid w:val="008556BB"/>
    <w:rsid w:val="0085613D"/>
    <w:rsid w:val="00856911"/>
    <w:rsid w:val="00856B49"/>
    <w:rsid w:val="00856B4C"/>
    <w:rsid w:val="00856D40"/>
    <w:rsid w:val="00857DC3"/>
    <w:rsid w:val="0086115D"/>
    <w:rsid w:val="008654F0"/>
    <w:rsid w:val="00865D54"/>
    <w:rsid w:val="0086706B"/>
    <w:rsid w:val="00867450"/>
    <w:rsid w:val="008677FD"/>
    <w:rsid w:val="00870008"/>
    <w:rsid w:val="008705ED"/>
    <w:rsid w:val="008706D4"/>
    <w:rsid w:val="00870F8A"/>
    <w:rsid w:val="00871600"/>
    <w:rsid w:val="008719A4"/>
    <w:rsid w:val="00871D23"/>
    <w:rsid w:val="00872530"/>
    <w:rsid w:val="00872B50"/>
    <w:rsid w:val="00874312"/>
    <w:rsid w:val="0087437C"/>
    <w:rsid w:val="0087438A"/>
    <w:rsid w:val="00874A99"/>
    <w:rsid w:val="00875CD7"/>
    <w:rsid w:val="008763E4"/>
    <w:rsid w:val="00876479"/>
    <w:rsid w:val="0087684C"/>
    <w:rsid w:val="00876B4D"/>
    <w:rsid w:val="00877647"/>
    <w:rsid w:val="00877AD8"/>
    <w:rsid w:val="00877F18"/>
    <w:rsid w:val="00880C57"/>
    <w:rsid w:val="00881914"/>
    <w:rsid w:val="00881DA8"/>
    <w:rsid w:val="00882D6A"/>
    <w:rsid w:val="0088405D"/>
    <w:rsid w:val="00885A05"/>
    <w:rsid w:val="00885B54"/>
    <w:rsid w:val="0088671F"/>
    <w:rsid w:val="00887B54"/>
    <w:rsid w:val="0089004D"/>
    <w:rsid w:val="008903E4"/>
    <w:rsid w:val="00893358"/>
    <w:rsid w:val="00894A88"/>
    <w:rsid w:val="00895386"/>
    <w:rsid w:val="00895BEC"/>
    <w:rsid w:val="00895BF0"/>
    <w:rsid w:val="00896C1C"/>
    <w:rsid w:val="00897D13"/>
    <w:rsid w:val="008A0EB2"/>
    <w:rsid w:val="008A10AD"/>
    <w:rsid w:val="008A21FF"/>
    <w:rsid w:val="008A2775"/>
    <w:rsid w:val="008A2CE2"/>
    <w:rsid w:val="008A30AC"/>
    <w:rsid w:val="008A335E"/>
    <w:rsid w:val="008A44B8"/>
    <w:rsid w:val="008A4BD4"/>
    <w:rsid w:val="008A51A8"/>
    <w:rsid w:val="008A54C7"/>
    <w:rsid w:val="008A657D"/>
    <w:rsid w:val="008A6764"/>
    <w:rsid w:val="008A77D8"/>
    <w:rsid w:val="008A7AED"/>
    <w:rsid w:val="008B0483"/>
    <w:rsid w:val="008B0B15"/>
    <w:rsid w:val="008B120C"/>
    <w:rsid w:val="008B26F5"/>
    <w:rsid w:val="008B51A0"/>
    <w:rsid w:val="008B58D2"/>
    <w:rsid w:val="008B592A"/>
    <w:rsid w:val="008B6E34"/>
    <w:rsid w:val="008B7514"/>
    <w:rsid w:val="008B78A6"/>
    <w:rsid w:val="008B794A"/>
    <w:rsid w:val="008B7B5C"/>
    <w:rsid w:val="008C03A2"/>
    <w:rsid w:val="008C0C99"/>
    <w:rsid w:val="008C1321"/>
    <w:rsid w:val="008C1729"/>
    <w:rsid w:val="008C2017"/>
    <w:rsid w:val="008C24A9"/>
    <w:rsid w:val="008C361D"/>
    <w:rsid w:val="008C43A4"/>
    <w:rsid w:val="008C4958"/>
    <w:rsid w:val="008C4BAA"/>
    <w:rsid w:val="008C5807"/>
    <w:rsid w:val="008C6AE8"/>
    <w:rsid w:val="008C731E"/>
    <w:rsid w:val="008C7573"/>
    <w:rsid w:val="008C77EA"/>
    <w:rsid w:val="008D089A"/>
    <w:rsid w:val="008D0AE1"/>
    <w:rsid w:val="008D0BEA"/>
    <w:rsid w:val="008D1907"/>
    <w:rsid w:val="008D1E17"/>
    <w:rsid w:val="008D34F1"/>
    <w:rsid w:val="008D39D8"/>
    <w:rsid w:val="008D57A1"/>
    <w:rsid w:val="008D5ED9"/>
    <w:rsid w:val="008D6415"/>
    <w:rsid w:val="008D6BDE"/>
    <w:rsid w:val="008D6D1A"/>
    <w:rsid w:val="008E065E"/>
    <w:rsid w:val="008E0927"/>
    <w:rsid w:val="008E0948"/>
    <w:rsid w:val="008E1909"/>
    <w:rsid w:val="008E1A1E"/>
    <w:rsid w:val="008E2112"/>
    <w:rsid w:val="008E24C8"/>
    <w:rsid w:val="008E3668"/>
    <w:rsid w:val="008E3D43"/>
    <w:rsid w:val="008E40AB"/>
    <w:rsid w:val="008F0834"/>
    <w:rsid w:val="008F0D74"/>
    <w:rsid w:val="008F1EAB"/>
    <w:rsid w:val="008F20B4"/>
    <w:rsid w:val="008F323B"/>
    <w:rsid w:val="008F33DC"/>
    <w:rsid w:val="008F3F78"/>
    <w:rsid w:val="008F477F"/>
    <w:rsid w:val="008F598B"/>
    <w:rsid w:val="008F6115"/>
    <w:rsid w:val="008F7509"/>
    <w:rsid w:val="00902350"/>
    <w:rsid w:val="00902433"/>
    <w:rsid w:val="0090336B"/>
    <w:rsid w:val="009034F0"/>
    <w:rsid w:val="00903B04"/>
    <w:rsid w:val="009053AA"/>
    <w:rsid w:val="00905519"/>
    <w:rsid w:val="00905C61"/>
    <w:rsid w:val="00906939"/>
    <w:rsid w:val="00906E5B"/>
    <w:rsid w:val="00910B7D"/>
    <w:rsid w:val="00911DFB"/>
    <w:rsid w:val="009139D9"/>
    <w:rsid w:val="00914AD8"/>
    <w:rsid w:val="00914D76"/>
    <w:rsid w:val="00915593"/>
    <w:rsid w:val="00916079"/>
    <w:rsid w:val="00917CE9"/>
    <w:rsid w:val="00920734"/>
    <w:rsid w:val="00920BF2"/>
    <w:rsid w:val="0092192F"/>
    <w:rsid w:val="00921DDC"/>
    <w:rsid w:val="00922010"/>
    <w:rsid w:val="00924C82"/>
    <w:rsid w:val="0092554D"/>
    <w:rsid w:val="009259E4"/>
    <w:rsid w:val="00925ED0"/>
    <w:rsid w:val="009263BF"/>
    <w:rsid w:val="00931BD9"/>
    <w:rsid w:val="00934670"/>
    <w:rsid w:val="00935451"/>
    <w:rsid w:val="00935493"/>
    <w:rsid w:val="009368F3"/>
    <w:rsid w:val="009370FF"/>
    <w:rsid w:val="009414F9"/>
    <w:rsid w:val="00941636"/>
    <w:rsid w:val="00943742"/>
    <w:rsid w:val="0094532E"/>
    <w:rsid w:val="00945C05"/>
    <w:rsid w:val="00946945"/>
    <w:rsid w:val="00946F66"/>
    <w:rsid w:val="009474AE"/>
    <w:rsid w:val="00947713"/>
    <w:rsid w:val="00950DE7"/>
    <w:rsid w:val="00951500"/>
    <w:rsid w:val="00951558"/>
    <w:rsid w:val="00951F64"/>
    <w:rsid w:val="009523F6"/>
    <w:rsid w:val="00952627"/>
    <w:rsid w:val="00953920"/>
    <w:rsid w:val="00953B21"/>
    <w:rsid w:val="00953D47"/>
    <w:rsid w:val="0095681E"/>
    <w:rsid w:val="009572D4"/>
    <w:rsid w:val="00961921"/>
    <w:rsid w:val="009638BA"/>
    <w:rsid w:val="0096430A"/>
    <w:rsid w:val="009644C3"/>
    <w:rsid w:val="009651D1"/>
    <w:rsid w:val="0096554B"/>
    <w:rsid w:val="0096584A"/>
    <w:rsid w:val="00967698"/>
    <w:rsid w:val="009677E7"/>
    <w:rsid w:val="00967B18"/>
    <w:rsid w:val="00971F08"/>
    <w:rsid w:val="009742F2"/>
    <w:rsid w:val="0097603D"/>
    <w:rsid w:val="00976949"/>
    <w:rsid w:val="009770FD"/>
    <w:rsid w:val="00980477"/>
    <w:rsid w:val="00985253"/>
    <w:rsid w:val="009853B3"/>
    <w:rsid w:val="009855D7"/>
    <w:rsid w:val="009900AB"/>
    <w:rsid w:val="00990630"/>
    <w:rsid w:val="00991761"/>
    <w:rsid w:val="00991AED"/>
    <w:rsid w:val="00991CD9"/>
    <w:rsid w:val="00991CFB"/>
    <w:rsid w:val="00991D53"/>
    <w:rsid w:val="009932C8"/>
    <w:rsid w:val="00993AC1"/>
    <w:rsid w:val="00993E53"/>
    <w:rsid w:val="00994DCA"/>
    <w:rsid w:val="00994E9F"/>
    <w:rsid w:val="009960EC"/>
    <w:rsid w:val="009961BD"/>
    <w:rsid w:val="009970DD"/>
    <w:rsid w:val="009A0C48"/>
    <w:rsid w:val="009A0FBA"/>
    <w:rsid w:val="009A1601"/>
    <w:rsid w:val="009A1694"/>
    <w:rsid w:val="009A16E7"/>
    <w:rsid w:val="009A3AB3"/>
    <w:rsid w:val="009A3EF5"/>
    <w:rsid w:val="009A462D"/>
    <w:rsid w:val="009A5CBA"/>
    <w:rsid w:val="009A6492"/>
    <w:rsid w:val="009A656C"/>
    <w:rsid w:val="009B1F30"/>
    <w:rsid w:val="009B3AC2"/>
    <w:rsid w:val="009B4DF4"/>
    <w:rsid w:val="009B4FFF"/>
    <w:rsid w:val="009B564E"/>
    <w:rsid w:val="009B5BD4"/>
    <w:rsid w:val="009B7E87"/>
    <w:rsid w:val="009C04DF"/>
    <w:rsid w:val="009C1079"/>
    <w:rsid w:val="009C3127"/>
    <w:rsid w:val="009C31E4"/>
    <w:rsid w:val="009C347D"/>
    <w:rsid w:val="009C403E"/>
    <w:rsid w:val="009C5473"/>
    <w:rsid w:val="009C6794"/>
    <w:rsid w:val="009C6867"/>
    <w:rsid w:val="009D0E10"/>
    <w:rsid w:val="009D22FC"/>
    <w:rsid w:val="009D2800"/>
    <w:rsid w:val="009D290C"/>
    <w:rsid w:val="009D4941"/>
    <w:rsid w:val="009D4FF0"/>
    <w:rsid w:val="009D703C"/>
    <w:rsid w:val="009D718F"/>
    <w:rsid w:val="009E0146"/>
    <w:rsid w:val="009E068F"/>
    <w:rsid w:val="009E14E0"/>
    <w:rsid w:val="009E1F9C"/>
    <w:rsid w:val="009E33FC"/>
    <w:rsid w:val="009E35DB"/>
    <w:rsid w:val="009E47A3"/>
    <w:rsid w:val="009E491C"/>
    <w:rsid w:val="009E4AA8"/>
    <w:rsid w:val="009E518A"/>
    <w:rsid w:val="009E703A"/>
    <w:rsid w:val="009E7679"/>
    <w:rsid w:val="009F08F3"/>
    <w:rsid w:val="009F321E"/>
    <w:rsid w:val="009F344F"/>
    <w:rsid w:val="009F5825"/>
    <w:rsid w:val="009F5CCC"/>
    <w:rsid w:val="009F6DEF"/>
    <w:rsid w:val="009F7AFF"/>
    <w:rsid w:val="00A02C19"/>
    <w:rsid w:val="00A0448A"/>
    <w:rsid w:val="00A048A8"/>
    <w:rsid w:val="00A04F49"/>
    <w:rsid w:val="00A06531"/>
    <w:rsid w:val="00A06CC4"/>
    <w:rsid w:val="00A06E1D"/>
    <w:rsid w:val="00A0738C"/>
    <w:rsid w:val="00A102C1"/>
    <w:rsid w:val="00A103B2"/>
    <w:rsid w:val="00A13E54"/>
    <w:rsid w:val="00A1474F"/>
    <w:rsid w:val="00A15C41"/>
    <w:rsid w:val="00A15CAD"/>
    <w:rsid w:val="00A15F7B"/>
    <w:rsid w:val="00A17F63"/>
    <w:rsid w:val="00A2193B"/>
    <w:rsid w:val="00A22208"/>
    <w:rsid w:val="00A2351A"/>
    <w:rsid w:val="00A264A9"/>
    <w:rsid w:val="00A27785"/>
    <w:rsid w:val="00A27E11"/>
    <w:rsid w:val="00A30187"/>
    <w:rsid w:val="00A301E8"/>
    <w:rsid w:val="00A31C05"/>
    <w:rsid w:val="00A338C0"/>
    <w:rsid w:val="00A3448A"/>
    <w:rsid w:val="00A34B4C"/>
    <w:rsid w:val="00A36297"/>
    <w:rsid w:val="00A36D41"/>
    <w:rsid w:val="00A3785C"/>
    <w:rsid w:val="00A41E2B"/>
    <w:rsid w:val="00A42835"/>
    <w:rsid w:val="00A454D3"/>
    <w:rsid w:val="00A456E3"/>
    <w:rsid w:val="00A4593B"/>
    <w:rsid w:val="00A45B74"/>
    <w:rsid w:val="00A45C64"/>
    <w:rsid w:val="00A45EAD"/>
    <w:rsid w:val="00A5019F"/>
    <w:rsid w:val="00A50A09"/>
    <w:rsid w:val="00A50C76"/>
    <w:rsid w:val="00A512C0"/>
    <w:rsid w:val="00A51E9B"/>
    <w:rsid w:val="00A52BF7"/>
    <w:rsid w:val="00A52E1D"/>
    <w:rsid w:val="00A5300A"/>
    <w:rsid w:val="00A537F9"/>
    <w:rsid w:val="00A573ED"/>
    <w:rsid w:val="00A6036F"/>
    <w:rsid w:val="00A60B50"/>
    <w:rsid w:val="00A61499"/>
    <w:rsid w:val="00A6152C"/>
    <w:rsid w:val="00A62A77"/>
    <w:rsid w:val="00A63483"/>
    <w:rsid w:val="00A645E1"/>
    <w:rsid w:val="00A657D7"/>
    <w:rsid w:val="00A65C95"/>
    <w:rsid w:val="00A660AC"/>
    <w:rsid w:val="00A675FB"/>
    <w:rsid w:val="00A679AF"/>
    <w:rsid w:val="00A67E6C"/>
    <w:rsid w:val="00A70738"/>
    <w:rsid w:val="00A71B99"/>
    <w:rsid w:val="00A72282"/>
    <w:rsid w:val="00A739D0"/>
    <w:rsid w:val="00A748CE"/>
    <w:rsid w:val="00A75E84"/>
    <w:rsid w:val="00A761D4"/>
    <w:rsid w:val="00A770DC"/>
    <w:rsid w:val="00A77EC4"/>
    <w:rsid w:val="00A811B2"/>
    <w:rsid w:val="00A8159F"/>
    <w:rsid w:val="00A816B5"/>
    <w:rsid w:val="00A8359B"/>
    <w:rsid w:val="00A8428A"/>
    <w:rsid w:val="00A92879"/>
    <w:rsid w:val="00A932E0"/>
    <w:rsid w:val="00A9360B"/>
    <w:rsid w:val="00A9442A"/>
    <w:rsid w:val="00A95714"/>
    <w:rsid w:val="00A96566"/>
    <w:rsid w:val="00A96FD7"/>
    <w:rsid w:val="00A9707E"/>
    <w:rsid w:val="00AA016F"/>
    <w:rsid w:val="00AA0B58"/>
    <w:rsid w:val="00AA10FE"/>
    <w:rsid w:val="00AA1ED6"/>
    <w:rsid w:val="00AA3BFC"/>
    <w:rsid w:val="00AA51D6"/>
    <w:rsid w:val="00AA579A"/>
    <w:rsid w:val="00AA7625"/>
    <w:rsid w:val="00AB07B1"/>
    <w:rsid w:val="00AB0BC8"/>
    <w:rsid w:val="00AB11CA"/>
    <w:rsid w:val="00AB14D9"/>
    <w:rsid w:val="00AB3A91"/>
    <w:rsid w:val="00AB456B"/>
    <w:rsid w:val="00AB4AB8"/>
    <w:rsid w:val="00AB5E74"/>
    <w:rsid w:val="00AB629A"/>
    <w:rsid w:val="00AB63FE"/>
    <w:rsid w:val="00AB653D"/>
    <w:rsid w:val="00AB655E"/>
    <w:rsid w:val="00AB7B3F"/>
    <w:rsid w:val="00AC007F"/>
    <w:rsid w:val="00AC1228"/>
    <w:rsid w:val="00AC2135"/>
    <w:rsid w:val="00AC250D"/>
    <w:rsid w:val="00AC2ECD"/>
    <w:rsid w:val="00AC3119"/>
    <w:rsid w:val="00AC3C33"/>
    <w:rsid w:val="00AC440C"/>
    <w:rsid w:val="00AC49FB"/>
    <w:rsid w:val="00AC4C0B"/>
    <w:rsid w:val="00AC5A10"/>
    <w:rsid w:val="00AC6633"/>
    <w:rsid w:val="00AC6BCE"/>
    <w:rsid w:val="00AC7DFB"/>
    <w:rsid w:val="00AD0AA3"/>
    <w:rsid w:val="00AD3F94"/>
    <w:rsid w:val="00AD4678"/>
    <w:rsid w:val="00AD4A5A"/>
    <w:rsid w:val="00AD5CA1"/>
    <w:rsid w:val="00AD6E52"/>
    <w:rsid w:val="00AE1113"/>
    <w:rsid w:val="00AE27AC"/>
    <w:rsid w:val="00AE3757"/>
    <w:rsid w:val="00AE40E0"/>
    <w:rsid w:val="00AE43AD"/>
    <w:rsid w:val="00AE4DBA"/>
    <w:rsid w:val="00AE4F07"/>
    <w:rsid w:val="00AE5C3C"/>
    <w:rsid w:val="00AE5D4D"/>
    <w:rsid w:val="00AE62FE"/>
    <w:rsid w:val="00AE6976"/>
    <w:rsid w:val="00AE72EE"/>
    <w:rsid w:val="00AF0F18"/>
    <w:rsid w:val="00AF1205"/>
    <w:rsid w:val="00AF142A"/>
    <w:rsid w:val="00AF1BD4"/>
    <w:rsid w:val="00AF1C5D"/>
    <w:rsid w:val="00AF2F27"/>
    <w:rsid w:val="00AF3CD1"/>
    <w:rsid w:val="00AF42D7"/>
    <w:rsid w:val="00AF4B94"/>
    <w:rsid w:val="00AF5EEA"/>
    <w:rsid w:val="00AF66CA"/>
    <w:rsid w:val="00AF7579"/>
    <w:rsid w:val="00B006FE"/>
    <w:rsid w:val="00B007CB"/>
    <w:rsid w:val="00B00DFC"/>
    <w:rsid w:val="00B02801"/>
    <w:rsid w:val="00B02AA9"/>
    <w:rsid w:val="00B02FA3"/>
    <w:rsid w:val="00B03219"/>
    <w:rsid w:val="00B03883"/>
    <w:rsid w:val="00B04833"/>
    <w:rsid w:val="00B05084"/>
    <w:rsid w:val="00B06FF0"/>
    <w:rsid w:val="00B157B9"/>
    <w:rsid w:val="00B157F9"/>
    <w:rsid w:val="00B167F1"/>
    <w:rsid w:val="00B20256"/>
    <w:rsid w:val="00B20D09"/>
    <w:rsid w:val="00B21489"/>
    <w:rsid w:val="00B23215"/>
    <w:rsid w:val="00B2763F"/>
    <w:rsid w:val="00B2782B"/>
    <w:rsid w:val="00B27AAC"/>
    <w:rsid w:val="00B3065E"/>
    <w:rsid w:val="00B30929"/>
    <w:rsid w:val="00B33878"/>
    <w:rsid w:val="00B372AA"/>
    <w:rsid w:val="00B37646"/>
    <w:rsid w:val="00B37FE0"/>
    <w:rsid w:val="00B40445"/>
    <w:rsid w:val="00B40C27"/>
    <w:rsid w:val="00B411F7"/>
    <w:rsid w:val="00B41888"/>
    <w:rsid w:val="00B41BF2"/>
    <w:rsid w:val="00B42777"/>
    <w:rsid w:val="00B43640"/>
    <w:rsid w:val="00B43A99"/>
    <w:rsid w:val="00B45A52"/>
    <w:rsid w:val="00B45EE8"/>
    <w:rsid w:val="00B46175"/>
    <w:rsid w:val="00B4792B"/>
    <w:rsid w:val="00B505D1"/>
    <w:rsid w:val="00B53208"/>
    <w:rsid w:val="00B543F3"/>
    <w:rsid w:val="00B55886"/>
    <w:rsid w:val="00B55F1A"/>
    <w:rsid w:val="00B565E4"/>
    <w:rsid w:val="00B56889"/>
    <w:rsid w:val="00B60A44"/>
    <w:rsid w:val="00B60BF6"/>
    <w:rsid w:val="00B6167C"/>
    <w:rsid w:val="00B616C5"/>
    <w:rsid w:val="00B62AAA"/>
    <w:rsid w:val="00B6410B"/>
    <w:rsid w:val="00B64EFA"/>
    <w:rsid w:val="00B64FC9"/>
    <w:rsid w:val="00B65B0A"/>
    <w:rsid w:val="00B664C7"/>
    <w:rsid w:val="00B66B35"/>
    <w:rsid w:val="00B67426"/>
    <w:rsid w:val="00B674EF"/>
    <w:rsid w:val="00B678E5"/>
    <w:rsid w:val="00B67977"/>
    <w:rsid w:val="00B70ED6"/>
    <w:rsid w:val="00B716BA"/>
    <w:rsid w:val="00B739F6"/>
    <w:rsid w:val="00B74AC0"/>
    <w:rsid w:val="00B77E93"/>
    <w:rsid w:val="00B803B5"/>
    <w:rsid w:val="00B809A6"/>
    <w:rsid w:val="00B80CE0"/>
    <w:rsid w:val="00B819D2"/>
    <w:rsid w:val="00B81A6C"/>
    <w:rsid w:val="00B85A27"/>
    <w:rsid w:val="00B85DE5"/>
    <w:rsid w:val="00B87046"/>
    <w:rsid w:val="00B872BE"/>
    <w:rsid w:val="00B90291"/>
    <w:rsid w:val="00B904C9"/>
    <w:rsid w:val="00B9093E"/>
    <w:rsid w:val="00B90F73"/>
    <w:rsid w:val="00B92BDE"/>
    <w:rsid w:val="00B93B59"/>
    <w:rsid w:val="00B9406A"/>
    <w:rsid w:val="00B943BD"/>
    <w:rsid w:val="00B97969"/>
    <w:rsid w:val="00BA06F4"/>
    <w:rsid w:val="00BA101D"/>
    <w:rsid w:val="00BA2280"/>
    <w:rsid w:val="00BA2A08"/>
    <w:rsid w:val="00BA480A"/>
    <w:rsid w:val="00BA5659"/>
    <w:rsid w:val="00BA56D2"/>
    <w:rsid w:val="00BA76E0"/>
    <w:rsid w:val="00BB039F"/>
    <w:rsid w:val="00BB067E"/>
    <w:rsid w:val="00BB0EBB"/>
    <w:rsid w:val="00BB10C3"/>
    <w:rsid w:val="00BB2828"/>
    <w:rsid w:val="00BB2A25"/>
    <w:rsid w:val="00BB51E9"/>
    <w:rsid w:val="00BB5369"/>
    <w:rsid w:val="00BB7660"/>
    <w:rsid w:val="00BC0FDC"/>
    <w:rsid w:val="00BC113B"/>
    <w:rsid w:val="00BC2916"/>
    <w:rsid w:val="00BC3053"/>
    <w:rsid w:val="00BC3905"/>
    <w:rsid w:val="00BC3C88"/>
    <w:rsid w:val="00BC4948"/>
    <w:rsid w:val="00BC4D2E"/>
    <w:rsid w:val="00BC575A"/>
    <w:rsid w:val="00BC6FB7"/>
    <w:rsid w:val="00BD15B2"/>
    <w:rsid w:val="00BD3678"/>
    <w:rsid w:val="00BD48A2"/>
    <w:rsid w:val="00BD48AC"/>
    <w:rsid w:val="00BD5F1A"/>
    <w:rsid w:val="00BD71B0"/>
    <w:rsid w:val="00BE00FF"/>
    <w:rsid w:val="00BE058C"/>
    <w:rsid w:val="00BE1234"/>
    <w:rsid w:val="00BE157D"/>
    <w:rsid w:val="00BE18D1"/>
    <w:rsid w:val="00BE230E"/>
    <w:rsid w:val="00BE2BAF"/>
    <w:rsid w:val="00BE2D21"/>
    <w:rsid w:val="00BE2FA6"/>
    <w:rsid w:val="00BE333F"/>
    <w:rsid w:val="00BE4B32"/>
    <w:rsid w:val="00BE537D"/>
    <w:rsid w:val="00BE5C7A"/>
    <w:rsid w:val="00BE7129"/>
    <w:rsid w:val="00BE7406"/>
    <w:rsid w:val="00BE7603"/>
    <w:rsid w:val="00BF0D1E"/>
    <w:rsid w:val="00BF31F3"/>
    <w:rsid w:val="00BF3279"/>
    <w:rsid w:val="00BF4944"/>
    <w:rsid w:val="00BF6609"/>
    <w:rsid w:val="00BF6DD2"/>
    <w:rsid w:val="00BF7030"/>
    <w:rsid w:val="00BF74C7"/>
    <w:rsid w:val="00BF7AAD"/>
    <w:rsid w:val="00C015F1"/>
    <w:rsid w:val="00C01C6A"/>
    <w:rsid w:val="00C01F33"/>
    <w:rsid w:val="00C02CC6"/>
    <w:rsid w:val="00C02F58"/>
    <w:rsid w:val="00C038F3"/>
    <w:rsid w:val="00C040F7"/>
    <w:rsid w:val="00C041B0"/>
    <w:rsid w:val="00C044AB"/>
    <w:rsid w:val="00C0551F"/>
    <w:rsid w:val="00C05706"/>
    <w:rsid w:val="00C07377"/>
    <w:rsid w:val="00C07BC2"/>
    <w:rsid w:val="00C10478"/>
    <w:rsid w:val="00C12107"/>
    <w:rsid w:val="00C12E62"/>
    <w:rsid w:val="00C12F92"/>
    <w:rsid w:val="00C14D4B"/>
    <w:rsid w:val="00C14E71"/>
    <w:rsid w:val="00C154BB"/>
    <w:rsid w:val="00C15DC3"/>
    <w:rsid w:val="00C16626"/>
    <w:rsid w:val="00C17098"/>
    <w:rsid w:val="00C176D9"/>
    <w:rsid w:val="00C17D0F"/>
    <w:rsid w:val="00C20CFC"/>
    <w:rsid w:val="00C21848"/>
    <w:rsid w:val="00C2512B"/>
    <w:rsid w:val="00C2563B"/>
    <w:rsid w:val="00C25B09"/>
    <w:rsid w:val="00C279B5"/>
    <w:rsid w:val="00C27C45"/>
    <w:rsid w:val="00C31603"/>
    <w:rsid w:val="00C32440"/>
    <w:rsid w:val="00C331F2"/>
    <w:rsid w:val="00C3719D"/>
    <w:rsid w:val="00C42E19"/>
    <w:rsid w:val="00C437FE"/>
    <w:rsid w:val="00C44421"/>
    <w:rsid w:val="00C459AB"/>
    <w:rsid w:val="00C47537"/>
    <w:rsid w:val="00C50281"/>
    <w:rsid w:val="00C505C9"/>
    <w:rsid w:val="00C50760"/>
    <w:rsid w:val="00C519BA"/>
    <w:rsid w:val="00C54995"/>
    <w:rsid w:val="00C54D41"/>
    <w:rsid w:val="00C552B5"/>
    <w:rsid w:val="00C57B71"/>
    <w:rsid w:val="00C603DE"/>
    <w:rsid w:val="00C60783"/>
    <w:rsid w:val="00C608B6"/>
    <w:rsid w:val="00C6113B"/>
    <w:rsid w:val="00C61983"/>
    <w:rsid w:val="00C62CC4"/>
    <w:rsid w:val="00C63D21"/>
    <w:rsid w:val="00C64672"/>
    <w:rsid w:val="00C66994"/>
    <w:rsid w:val="00C67DB0"/>
    <w:rsid w:val="00C70232"/>
    <w:rsid w:val="00C70697"/>
    <w:rsid w:val="00C70C94"/>
    <w:rsid w:val="00C718A3"/>
    <w:rsid w:val="00C7284C"/>
    <w:rsid w:val="00C72EF4"/>
    <w:rsid w:val="00C743BB"/>
    <w:rsid w:val="00C7531B"/>
    <w:rsid w:val="00C75D2F"/>
    <w:rsid w:val="00C767BE"/>
    <w:rsid w:val="00C76963"/>
    <w:rsid w:val="00C76E3C"/>
    <w:rsid w:val="00C77171"/>
    <w:rsid w:val="00C77496"/>
    <w:rsid w:val="00C77D0F"/>
    <w:rsid w:val="00C77F5E"/>
    <w:rsid w:val="00C80ACA"/>
    <w:rsid w:val="00C81568"/>
    <w:rsid w:val="00C81821"/>
    <w:rsid w:val="00C81AC9"/>
    <w:rsid w:val="00C81F3E"/>
    <w:rsid w:val="00C82FAF"/>
    <w:rsid w:val="00C83F40"/>
    <w:rsid w:val="00C84D87"/>
    <w:rsid w:val="00C8504F"/>
    <w:rsid w:val="00C853CB"/>
    <w:rsid w:val="00C9027A"/>
    <w:rsid w:val="00C9068E"/>
    <w:rsid w:val="00C91251"/>
    <w:rsid w:val="00C91EC7"/>
    <w:rsid w:val="00C92AE8"/>
    <w:rsid w:val="00C92D23"/>
    <w:rsid w:val="00C92E34"/>
    <w:rsid w:val="00C93C4B"/>
    <w:rsid w:val="00C944AB"/>
    <w:rsid w:val="00C95B40"/>
    <w:rsid w:val="00C95D72"/>
    <w:rsid w:val="00C962FD"/>
    <w:rsid w:val="00C96639"/>
    <w:rsid w:val="00CA1ED8"/>
    <w:rsid w:val="00CA21E3"/>
    <w:rsid w:val="00CA2C50"/>
    <w:rsid w:val="00CA3280"/>
    <w:rsid w:val="00CA36F9"/>
    <w:rsid w:val="00CA4D6C"/>
    <w:rsid w:val="00CA59BA"/>
    <w:rsid w:val="00CA5FB0"/>
    <w:rsid w:val="00CA65A8"/>
    <w:rsid w:val="00CA7467"/>
    <w:rsid w:val="00CB158F"/>
    <w:rsid w:val="00CB1F63"/>
    <w:rsid w:val="00CB2B23"/>
    <w:rsid w:val="00CB2DD3"/>
    <w:rsid w:val="00CB414D"/>
    <w:rsid w:val="00CB61E0"/>
    <w:rsid w:val="00CB7170"/>
    <w:rsid w:val="00CB7EF6"/>
    <w:rsid w:val="00CC040E"/>
    <w:rsid w:val="00CC111F"/>
    <w:rsid w:val="00CC2011"/>
    <w:rsid w:val="00CC21AF"/>
    <w:rsid w:val="00CC2CD5"/>
    <w:rsid w:val="00CC3DA7"/>
    <w:rsid w:val="00CC3EA0"/>
    <w:rsid w:val="00CC54DA"/>
    <w:rsid w:val="00CC5968"/>
    <w:rsid w:val="00CC7B45"/>
    <w:rsid w:val="00CD1188"/>
    <w:rsid w:val="00CD11FE"/>
    <w:rsid w:val="00CD2485"/>
    <w:rsid w:val="00CD2ED1"/>
    <w:rsid w:val="00CD337B"/>
    <w:rsid w:val="00CD4EDC"/>
    <w:rsid w:val="00CD52F9"/>
    <w:rsid w:val="00CD68C2"/>
    <w:rsid w:val="00CD71A8"/>
    <w:rsid w:val="00CD73AE"/>
    <w:rsid w:val="00CE0424"/>
    <w:rsid w:val="00CE1269"/>
    <w:rsid w:val="00CE16ED"/>
    <w:rsid w:val="00CE21F6"/>
    <w:rsid w:val="00CE426E"/>
    <w:rsid w:val="00CE4843"/>
    <w:rsid w:val="00CE4A19"/>
    <w:rsid w:val="00CE5295"/>
    <w:rsid w:val="00CE5580"/>
    <w:rsid w:val="00CE574B"/>
    <w:rsid w:val="00CE7561"/>
    <w:rsid w:val="00CE7657"/>
    <w:rsid w:val="00CF1354"/>
    <w:rsid w:val="00CF1FA6"/>
    <w:rsid w:val="00CF382A"/>
    <w:rsid w:val="00CF3B1F"/>
    <w:rsid w:val="00CF3BF6"/>
    <w:rsid w:val="00CF3FEB"/>
    <w:rsid w:val="00CF5C4E"/>
    <w:rsid w:val="00CF625B"/>
    <w:rsid w:val="00CF687E"/>
    <w:rsid w:val="00CF7B39"/>
    <w:rsid w:val="00D00CDF"/>
    <w:rsid w:val="00D0349B"/>
    <w:rsid w:val="00D037FF"/>
    <w:rsid w:val="00D04434"/>
    <w:rsid w:val="00D05C4A"/>
    <w:rsid w:val="00D06645"/>
    <w:rsid w:val="00D07B3E"/>
    <w:rsid w:val="00D10249"/>
    <w:rsid w:val="00D10C15"/>
    <w:rsid w:val="00D10C29"/>
    <w:rsid w:val="00D115C3"/>
    <w:rsid w:val="00D11897"/>
    <w:rsid w:val="00D11A21"/>
    <w:rsid w:val="00D11D0E"/>
    <w:rsid w:val="00D1261E"/>
    <w:rsid w:val="00D13135"/>
    <w:rsid w:val="00D13E4E"/>
    <w:rsid w:val="00D142BC"/>
    <w:rsid w:val="00D14705"/>
    <w:rsid w:val="00D14883"/>
    <w:rsid w:val="00D227DE"/>
    <w:rsid w:val="00D239A7"/>
    <w:rsid w:val="00D23F47"/>
    <w:rsid w:val="00D26560"/>
    <w:rsid w:val="00D27707"/>
    <w:rsid w:val="00D3005B"/>
    <w:rsid w:val="00D30297"/>
    <w:rsid w:val="00D30E9D"/>
    <w:rsid w:val="00D31227"/>
    <w:rsid w:val="00D31C65"/>
    <w:rsid w:val="00D32DE8"/>
    <w:rsid w:val="00D33E03"/>
    <w:rsid w:val="00D350F3"/>
    <w:rsid w:val="00D361A6"/>
    <w:rsid w:val="00D365AC"/>
    <w:rsid w:val="00D36E71"/>
    <w:rsid w:val="00D37D87"/>
    <w:rsid w:val="00D408DB"/>
    <w:rsid w:val="00D40B33"/>
    <w:rsid w:val="00D416A4"/>
    <w:rsid w:val="00D42505"/>
    <w:rsid w:val="00D4318F"/>
    <w:rsid w:val="00D43646"/>
    <w:rsid w:val="00D438BF"/>
    <w:rsid w:val="00D440F8"/>
    <w:rsid w:val="00D457C0"/>
    <w:rsid w:val="00D50511"/>
    <w:rsid w:val="00D50B9D"/>
    <w:rsid w:val="00D53400"/>
    <w:rsid w:val="00D538CD"/>
    <w:rsid w:val="00D540EC"/>
    <w:rsid w:val="00D546FF"/>
    <w:rsid w:val="00D55AD5"/>
    <w:rsid w:val="00D5641C"/>
    <w:rsid w:val="00D56A9B"/>
    <w:rsid w:val="00D573DB"/>
    <w:rsid w:val="00D576CA"/>
    <w:rsid w:val="00D57AEA"/>
    <w:rsid w:val="00D606B9"/>
    <w:rsid w:val="00D60E13"/>
    <w:rsid w:val="00D61AF5"/>
    <w:rsid w:val="00D625D4"/>
    <w:rsid w:val="00D62CD5"/>
    <w:rsid w:val="00D6435F"/>
    <w:rsid w:val="00D652B5"/>
    <w:rsid w:val="00D66155"/>
    <w:rsid w:val="00D708B0"/>
    <w:rsid w:val="00D71A4E"/>
    <w:rsid w:val="00D72130"/>
    <w:rsid w:val="00D7337E"/>
    <w:rsid w:val="00D75410"/>
    <w:rsid w:val="00D755CC"/>
    <w:rsid w:val="00D75B4F"/>
    <w:rsid w:val="00D77B1D"/>
    <w:rsid w:val="00D8021F"/>
    <w:rsid w:val="00D80383"/>
    <w:rsid w:val="00D808C7"/>
    <w:rsid w:val="00D80919"/>
    <w:rsid w:val="00D80C63"/>
    <w:rsid w:val="00D823C6"/>
    <w:rsid w:val="00D8286F"/>
    <w:rsid w:val="00D8386B"/>
    <w:rsid w:val="00D83CEF"/>
    <w:rsid w:val="00D84891"/>
    <w:rsid w:val="00D852A6"/>
    <w:rsid w:val="00D85B16"/>
    <w:rsid w:val="00D86CA3"/>
    <w:rsid w:val="00D87049"/>
    <w:rsid w:val="00D871CE"/>
    <w:rsid w:val="00D87270"/>
    <w:rsid w:val="00D9031D"/>
    <w:rsid w:val="00D90F8A"/>
    <w:rsid w:val="00D9196D"/>
    <w:rsid w:val="00D91BB9"/>
    <w:rsid w:val="00D91E7B"/>
    <w:rsid w:val="00D9253C"/>
    <w:rsid w:val="00D92982"/>
    <w:rsid w:val="00D94243"/>
    <w:rsid w:val="00D97786"/>
    <w:rsid w:val="00DA2540"/>
    <w:rsid w:val="00DA305E"/>
    <w:rsid w:val="00DA5007"/>
    <w:rsid w:val="00DA5417"/>
    <w:rsid w:val="00DA56E8"/>
    <w:rsid w:val="00DA75D0"/>
    <w:rsid w:val="00DB0A9F"/>
    <w:rsid w:val="00DB12CA"/>
    <w:rsid w:val="00DB1E0D"/>
    <w:rsid w:val="00DB262A"/>
    <w:rsid w:val="00DB2DB7"/>
    <w:rsid w:val="00DB377D"/>
    <w:rsid w:val="00DB4968"/>
    <w:rsid w:val="00DB6005"/>
    <w:rsid w:val="00DC062C"/>
    <w:rsid w:val="00DC2202"/>
    <w:rsid w:val="00DC24A1"/>
    <w:rsid w:val="00DC2537"/>
    <w:rsid w:val="00DC2717"/>
    <w:rsid w:val="00DC2D36"/>
    <w:rsid w:val="00DC4088"/>
    <w:rsid w:val="00DC48AD"/>
    <w:rsid w:val="00DC4E15"/>
    <w:rsid w:val="00DC53EF"/>
    <w:rsid w:val="00DC5570"/>
    <w:rsid w:val="00DD13E7"/>
    <w:rsid w:val="00DD14BE"/>
    <w:rsid w:val="00DD2401"/>
    <w:rsid w:val="00DD2C90"/>
    <w:rsid w:val="00DD31FD"/>
    <w:rsid w:val="00DD3354"/>
    <w:rsid w:val="00DD3BE4"/>
    <w:rsid w:val="00DE0B80"/>
    <w:rsid w:val="00DE0F9F"/>
    <w:rsid w:val="00DE2813"/>
    <w:rsid w:val="00DE31A8"/>
    <w:rsid w:val="00DE39BB"/>
    <w:rsid w:val="00DE3AAB"/>
    <w:rsid w:val="00DE455E"/>
    <w:rsid w:val="00DE4EFE"/>
    <w:rsid w:val="00DE50E1"/>
    <w:rsid w:val="00DE5608"/>
    <w:rsid w:val="00DE58D0"/>
    <w:rsid w:val="00DE5FFC"/>
    <w:rsid w:val="00DE6129"/>
    <w:rsid w:val="00DE654F"/>
    <w:rsid w:val="00DE6E02"/>
    <w:rsid w:val="00DE70F6"/>
    <w:rsid w:val="00DF0B6E"/>
    <w:rsid w:val="00DF0DFE"/>
    <w:rsid w:val="00DF15E0"/>
    <w:rsid w:val="00DF169A"/>
    <w:rsid w:val="00DF273E"/>
    <w:rsid w:val="00DF2875"/>
    <w:rsid w:val="00DF37A0"/>
    <w:rsid w:val="00DF5F5F"/>
    <w:rsid w:val="00DF773D"/>
    <w:rsid w:val="00DF7E19"/>
    <w:rsid w:val="00E0012A"/>
    <w:rsid w:val="00E00B70"/>
    <w:rsid w:val="00E00FD5"/>
    <w:rsid w:val="00E0129B"/>
    <w:rsid w:val="00E0431A"/>
    <w:rsid w:val="00E044D6"/>
    <w:rsid w:val="00E04F9A"/>
    <w:rsid w:val="00E05483"/>
    <w:rsid w:val="00E06481"/>
    <w:rsid w:val="00E07D1B"/>
    <w:rsid w:val="00E105D6"/>
    <w:rsid w:val="00E108D8"/>
    <w:rsid w:val="00E110E7"/>
    <w:rsid w:val="00E114C3"/>
    <w:rsid w:val="00E11A5A"/>
    <w:rsid w:val="00E11B20"/>
    <w:rsid w:val="00E12D5A"/>
    <w:rsid w:val="00E1399F"/>
    <w:rsid w:val="00E15279"/>
    <w:rsid w:val="00E165BB"/>
    <w:rsid w:val="00E17FA2"/>
    <w:rsid w:val="00E203F9"/>
    <w:rsid w:val="00E20B3B"/>
    <w:rsid w:val="00E21F7F"/>
    <w:rsid w:val="00E22089"/>
    <w:rsid w:val="00E22330"/>
    <w:rsid w:val="00E22759"/>
    <w:rsid w:val="00E23150"/>
    <w:rsid w:val="00E239DC"/>
    <w:rsid w:val="00E24524"/>
    <w:rsid w:val="00E24C4D"/>
    <w:rsid w:val="00E259C6"/>
    <w:rsid w:val="00E25B19"/>
    <w:rsid w:val="00E269FB"/>
    <w:rsid w:val="00E2760A"/>
    <w:rsid w:val="00E2778A"/>
    <w:rsid w:val="00E27832"/>
    <w:rsid w:val="00E30B5A"/>
    <w:rsid w:val="00E3123D"/>
    <w:rsid w:val="00E31461"/>
    <w:rsid w:val="00E31889"/>
    <w:rsid w:val="00E31D43"/>
    <w:rsid w:val="00E32608"/>
    <w:rsid w:val="00E337E6"/>
    <w:rsid w:val="00E34188"/>
    <w:rsid w:val="00E345CD"/>
    <w:rsid w:val="00E34B6E"/>
    <w:rsid w:val="00E35559"/>
    <w:rsid w:val="00E35901"/>
    <w:rsid w:val="00E3723A"/>
    <w:rsid w:val="00E375C3"/>
    <w:rsid w:val="00E37860"/>
    <w:rsid w:val="00E42837"/>
    <w:rsid w:val="00E435D0"/>
    <w:rsid w:val="00E446F1"/>
    <w:rsid w:val="00E451D3"/>
    <w:rsid w:val="00E46886"/>
    <w:rsid w:val="00E46AE3"/>
    <w:rsid w:val="00E47605"/>
    <w:rsid w:val="00E47AEF"/>
    <w:rsid w:val="00E50758"/>
    <w:rsid w:val="00E51EE7"/>
    <w:rsid w:val="00E52C2C"/>
    <w:rsid w:val="00E53314"/>
    <w:rsid w:val="00E534AC"/>
    <w:rsid w:val="00E538C7"/>
    <w:rsid w:val="00E53B75"/>
    <w:rsid w:val="00E54C99"/>
    <w:rsid w:val="00E54D7D"/>
    <w:rsid w:val="00E54E3B"/>
    <w:rsid w:val="00E553FB"/>
    <w:rsid w:val="00E5682F"/>
    <w:rsid w:val="00E57565"/>
    <w:rsid w:val="00E60310"/>
    <w:rsid w:val="00E628B9"/>
    <w:rsid w:val="00E62AEC"/>
    <w:rsid w:val="00E63838"/>
    <w:rsid w:val="00E64182"/>
    <w:rsid w:val="00E64434"/>
    <w:rsid w:val="00E64FAB"/>
    <w:rsid w:val="00E66EA2"/>
    <w:rsid w:val="00E67AF8"/>
    <w:rsid w:val="00E67C51"/>
    <w:rsid w:val="00E70679"/>
    <w:rsid w:val="00E71258"/>
    <w:rsid w:val="00E71339"/>
    <w:rsid w:val="00E7169E"/>
    <w:rsid w:val="00E71AA1"/>
    <w:rsid w:val="00E72462"/>
    <w:rsid w:val="00E729BB"/>
    <w:rsid w:val="00E72EFC"/>
    <w:rsid w:val="00E74883"/>
    <w:rsid w:val="00E7548A"/>
    <w:rsid w:val="00E758EC"/>
    <w:rsid w:val="00E77A9C"/>
    <w:rsid w:val="00E802B5"/>
    <w:rsid w:val="00E80307"/>
    <w:rsid w:val="00E80EB7"/>
    <w:rsid w:val="00E8234C"/>
    <w:rsid w:val="00E825C9"/>
    <w:rsid w:val="00E83AA9"/>
    <w:rsid w:val="00E83DFA"/>
    <w:rsid w:val="00E85639"/>
    <w:rsid w:val="00E85928"/>
    <w:rsid w:val="00E87822"/>
    <w:rsid w:val="00E90395"/>
    <w:rsid w:val="00E90D83"/>
    <w:rsid w:val="00E90E49"/>
    <w:rsid w:val="00E910E0"/>
    <w:rsid w:val="00E917F9"/>
    <w:rsid w:val="00E9291C"/>
    <w:rsid w:val="00E93FFE"/>
    <w:rsid w:val="00E94E5F"/>
    <w:rsid w:val="00E94F8A"/>
    <w:rsid w:val="00E9561F"/>
    <w:rsid w:val="00E957CD"/>
    <w:rsid w:val="00EA0515"/>
    <w:rsid w:val="00EA09CF"/>
    <w:rsid w:val="00EA0DC4"/>
    <w:rsid w:val="00EA1A35"/>
    <w:rsid w:val="00EA32D7"/>
    <w:rsid w:val="00EA3C71"/>
    <w:rsid w:val="00EA3FF5"/>
    <w:rsid w:val="00EA53C7"/>
    <w:rsid w:val="00EA5E0E"/>
    <w:rsid w:val="00EA65CA"/>
    <w:rsid w:val="00EA753E"/>
    <w:rsid w:val="00EA7A41"/>
    <w:rsid w:val="00EA7BF8"/>
    <w:rsid w:val="00EB03CF"/>
    <w:rsid w:val="00EB077B"/>
    <w:rsid w:val="00EB0CFB"/>
    <w:rsid w:val="00EB143F"/>
    <w:rsid w:val="00EB4196"/>
    <w:rsid w:val="00EB4B3E"/>
    <w:rsid w:val="00EB4EA2"/>
    <w:rsid w:val="00EB52A3"/>
    <w:rsid w:val="00EB5D9C"/>
    <w:rsid w:val="00EB70B3"/>
    <w:rsid w:val="00EC0026"/>
    <w:rsid w:val="00EC2654"/>
    <w:rsid w:val="00EC27C6"/>
    <w:rsid w:val="00EC4207"/>
    <w:rsid w:val="00EC5653"/>
    <w:rsid w:val="00EC60B5"/>
    <w:rsid w:val="00EC71CE"/>
    <w:rsid w:val="00ED074F"/>
    <w:rsid w:val="00ED1006"/>
    <w:rsid w:val="00ED1D68"/>
    <w:rsid w:val="00ED3F77"/>
    <w:rsid w:val="00ED6AEF"/>
    <w:rsid w:val="00ED7EB7"/>
    <w:rsid w:val="00EE1FB1"/>
    <w:rsid w:val="00EE3238"/>
    <w:rsid w:val="00EE3349"/>
    <w:rsid w:val="00EE375F"/>
    <w:rsid w:val="00EE5022"/>
    <w:rsid w:val="00EE5F14"/>
    <w:rsid w:val="00EE63D6"/>
    <w:rsid w:val="00EE6463"/>
    <w:rsid w:val="00EE6825"/>
    <w:rsid w:val="00EE6A57"/>
    <w:rsid w:val="00EF0D14"/>
    <w:rsid w:val="00EF18FE"/>
    <w:rsid w:val="00EF5787"/>
    <w:rsid w:val="00EF5D5F"/>
    <w:rsid w:val="00EF5E82"/>
    <w:rsid w:val="00EF60D0"/>
    <w:rsid w:val="00EF6CB7"/>
    <w:rsid w:val="00F02BC2"/>
    <w:rsid w:val="00F0528D"/>
    <w:rsid w:val="00F05890"/>
    <w:rsid w:val="00F05AA8"/>
    <w:rsid w:val="00F05CB8"/>
    <w:rsid w:val="00F06850"/>
    <w:rsid w:val="00F06C67"/>
    <w:rsid w:val="00F06DFD"/>
    <w:rsid w:val="00F071D1"/>
    <w:rsid w:val="00F07533"/>
    <w:rsid w:val="00F10003"/>
    <w:rsid w:val="00F10629"/>
    <w:rsid w:val="00F10C3C"/>
    <w:rsid w:val="00F11000"/>
    <w:rsid w:val="00F12182"/>
    <w:rsid w:val="00F12E4E"/>
    <w:rsid w:val="00F14E2D"/>
    <w:rsid w:val="00F1501C"/>
    <w:rsid w:val="00F15385"/>
    <w:rsid w:val="00F159D3"/>
    <w:rsid w:val="00F15FA5"/>
    <w:rsid w:val="00F16721"/>
    <w:rsid w:val="00F209B7"/>
    <w:rsid w:val="00F228F9"/>
    <w:rsid w:val="00F2339B"/>
    <w:rsid w:val="00F2376F"/>
    <w:rsid w:val="00F23959"/>
    <w:rsid w:val="00F23BBE"/>
    <w:rsid w:val="00F24305"/>
    <w:rsid w:val="00F243D8"/>
    <w:rsid w:val="00F26849"/>
    <w:rsid w:val="00F27FC5"/>
    <w:rsid w:val="00F30828"/>
    <w:rsid w:val="00F312AC"/>
    <w:rsid w:val="00F313D6"/>
    <w:rsid w:val="00F3231D"/>
    <w:rsid w:val="00F32A8C"/>
    <w:rsid w:val="00F32D77"/>
    <w:rsid w:val="00F337B3"/>
    <w:rsid w:val="00F34213"/>
    <w:rsid w:val="00F3476C"/>
    <w:rsid w:val="00F3550D"/>
    <w:rsid w:val="00F36FC2"/>
    <w:rsid w:val="00F37DDF"/>
    <w:rsid w:val="00F406B2"/>
    <w:rsid w:val="00F40F0C"/>
    <w:rsid w:val="00F43DD4"/>
    <w:rsid w:val="00F44042"/>
    <w:rsid w:val="00F46160"/>
    <w:rsid w:val="00F47512"/>
    <w:rsid w:val="00F4766C"/>
    <w:rsid w:val="00F50410"/>
    <w:rsid w:val="00F507D1"/>
    <w:rsid w:val="00F519CE"/>
    <w:rsid w:val="00F51ADA"/>
    <w:rsid w:val="00F51FCB"/>
    <w:rsid w:val="00F528C0"/>
    <w:rsid w:val="00F54637"/>
    <w:rsid w:val="00F54BFF"/>
    <w:rsid w:val="00F550E2"/>
    <w:rsid w:val="00F607C5"/>
    <w:rsid w:val="00F608E0"/>
    <w:rsid w:val="00F60DEA"/>
    <w:rsid w:val="00F6227B"/>
    <w:rsid w:val="00F62591"/>
    <w:rsid w:val="00F6259B"/>
    <w:rsid w:val="00F6302A"/>
    <w:rsid w:val="00F6411A"/>
    <w:rsid w:val="00F64C2B"/>
    <w:rsid w:val="00F651BE"/>
    <w:rsid w:val="00F658F7"/>
    <w:rsid w:val="00F660C1"/>
    <w:rsid w:val="00F67708"/>
    <w:rsid w:val="00F67F53"/>
    <w:rsid w:val="00F70248"/>
    <w:rsid w:val="00F703BE"/>
    <w:rsid w:val="00F71F69"/>
    <w:rsid w:val="00F72B72"/>
    <w:rsid w:val="00F744D9"/>
    <w:rsid w:val="00F74BB9"/>
    <w:rsid w:val="00F75582"/>
    <w:rsid w:val="00F75A7F"/>
    <w:rsid w:val="00F76327"/>
    <w:rsid w:val="00F76BBD"/>
    <w:rsid w:val="00F76EFA"/>
    <w:rsid w:val="00F804BE"/>
    <w:rsid w:val="00F817CE"/>
    <w:rsid w:val="00F83DA8"/>
    <w:rsid w:val="00F8456C"/>
    <w:rsid w:val="00F84DB9"/>
    <w:rsid w:val="00F859D8"/>
    <w:rsid w:val="00F867C4"/>
    <w:rsid w:val="00F868F5"/>
    <w:rsid w:val="00F90326"/>
    <w:rsid w:val="00F9056A"/>
    <w:rsid w:val="00F9068B"/>
    <w:rsid w:val="00F90F8D"/>
    <w:rsid w:val="00F910D9"/>
    <w:rsid w:val="00F918B1"/>
    <w:rsid w:val="00F91C9F"/>
    <w:rsid w:val="00F92625"/>
    <w:rsid w:val="00F92782"/>
    <w:rsid w:val="00F92EF1"/>
    <w:rsid w:val="00F93AA9"/>
    <w:rsid w:val="00F93BD6"/>
    <w:rsid w:val="00F944CC"/>
    <w:rsid w:val="00F949C9"/>
    <w:rsid w:val="00F9689D"/>
    <w:rsid w:val="00F96985"/>
    <w:rsid w:val="00F96D0D"/>
    <w:rsid w:val="00F97838"/>
    <w:rsid w:val="00FA2790"/>
    <w:rsid w:val="00FA2BB3"/>
    <w:rsid w:val="00FA2CFF"/>
    <w:rsid w:val="00FA2D8B"/>
    <w:rsid w:val="00FA37D9"/>
    <w:rsid w:val="00FA61C1"/>
    <w:rsid w:val="00FA7F50"/>
    <w:rsid w:val="00FB07A3"/>
    <w:rsid w:val="00FB08EF"/>
    <w:rsid w:val="00FB1307"/>
    <w:rsid w:val="00FB1B6E"/>
    <w:rsid w:val="00FB2012"/>
    <w:rsid w:val="00FB34C4"/>
    <w:rsid w:val="00FB3585"/>
    <w:rsid w:val="00FB4C80"/>
    <w:rsid w:val="00FB5352"/>
    <w:rsid w:val="00FB639A"/>
    <w:rsid w:val="00FB6A6A"/>
    <w:rsid w:val="00FB73EF"/>
    <w:rsid w:val="00FB78A9"/>
    <w:rsid w:val="00FB7AED"/>
    <w:rsid w:val="00FC220F"/>
    <w:rsid w:val="00FC2FE6"/>
    <w:rsid w:val="00FC4AD0"/>
    <w:rsid w:val="00FC7429"/>
    <w:rsid w:val="00FD0459"/>
    <w:rsid w:val="00FD07F6"/>
    <w:rsid w:val="00FD0B76"/>
    <w:rsid w:val="00FD1334"/>
    <w:rsid w:val="00FD1EC8"/>
    <w:rsid w:val="00FD3B02"/>
    <w:rsid w:val="00FD3EA8"/>
    <w:rsid w:val="00FD3EBB"/>
    <w:rsid w:val="00FD3FB3"/>
    <w:rsid w:val="00FD47ED"/>
    <w:rsid w:val="00FD74DB"/>
    <w:rsid w:val="00FD7660"/>
    <w:rsid w:val="00FE0655"/>
    <w:rsid w:val="00FE07AC"/>
    <w:rsid w:val="00FE1285"/>
    <w:rsid w:val="00FE2365"/>
    <w:rsid w:val="00FE3508"/>
    <w:rsid w:val="00FE4C7B"/>
    <w:rsid w:val="00FE54B8"/>
    <w:rsid w:val="00FE5E5E"/>
    <w:rsid w:val="00FE6100"/>
    <w:rsid w:val="00FE6457"/>
    <w:rsid w:val="00FE7336"/>
    <w:rsid w:val="00FE74C6"/>
    <w:rsid w:val="00FE787C"/>
    <w:rsid w:val="00FF02C6"/>
    <w:rsid w:val="00FF2079"/>
    <w:rsid w:val="00FF45A5"/>
    <w:rsid w:val="00FF5BB9"/>
    <w:rsid w:val="00FF5C91"/>
    <w:rsid w:val="00FF676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03CF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A65C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EA65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EA65C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A65C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EA65CA"/>
    <w:pPr>
      <w:numPr>
        <w:ilvl w:val="3"/>
      </w:numPr>
      <w:outlineLvl w:val="3"/>
    </w:pPr>
    <w:rPr>
      <w:sz w:val="24"/>
      <w:szCs w:val="24"/>
    </w:rPr>
  </w:style>
  <w:style w:type="paragraph" w:styleId="Heading5">
    <w:name w:val="heading 5"/>
    <w:basedOn w:val="Heading4"/>
    <w:next w:val="Normal"/>
    <w:qFormat/>
    <w:rsid w:val="00EA65CA"/>
    <w:pPr>
      <w:numPr>
        <w:ilvl w:val="4"/>
      </w:numPr>
      <w:outlineLvl w:val="4"/>
    </w:pPr>
    <w:rPr>
      <w:sz w:val="22"/>
      <w:szCs w:val="22"/>
    </w:rPr>
  </w:style>
  <w:style w:type="paragraph" w:styleId="Heading6">
    <w:name w:val="heading 6"/>
    <w:basedOn w:val="Normal"/>
    <w:next w:val="Normal"/>
    <w:qFormat/>
    <w:rsid w:val="00EA65CA"/>
    <w:pPr>
      <w:keepNext/>
      <w:keepLines/>
      <w:numPr>
        <w:ilvl w:val="5"/>
        <w:numId w:val="1"/>
      </w:numPr>
      <w:spacing w:before="120"/>
      <w:outlineLvl w:val="5"/>
    </w:pPr>
    <w:rPr>
      <w:rFonts w:cs="Arial"/>
    </w:rPr>
  </w:style>
  <w:style w:type="paragraph" w:styleId="Heading7">
    <w:name w:val="heading 7"/>
    <w:basedOn w:val="Normal"/>
    <w:next w:val="Normal"/>
    <w:qFormat/>
    <w:rsid w:val="00EA65CA"/>
    <w:pPr>
      <w:keepNext/>
      <w:keepLines/>
      <w:numPr>
        <w:ilvl w:val="6"/>
        <w:numId w:val="1"/>
      </w:numPr>
      <w:spacing w:before="120"/>
      <w:outlineLvl w:val="6"/>
    </w:pPr>
    <w:rPr>
      <w:rFonts w:cs="Arial"/>
    </w:rPr>
  </w:style>
  <w:style w:type="paragraph" w:styleId="Heading8">
    <w:name w:val="heading 8"/>
    <w:basedOn w:val="Heading7"/>
    <w:next w:val="Normal"/>
    <w:qFormat/>
    <w:rsid w:val="00EA65CA"/>
    <w:pPr>
      <w:numPr>
        <w:ilvl w:val="7"/>
      </w:numPr>
      <w:outlineLvl w:val="7"/>
    </w:pPr>
  </w:style>
  <w:style w:type="paragraph" w:styleId="Heading9">
    <w:name w:val="heading 9"/>
    <w:basedOn w:val="Heading8"/>
    <w:next w:val="Normal"/>
    <w:qFormat/>
    <w:rsid w:val="00EA65C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A65CA"/>
    <w:pPr>
      <w:spacing w:before="180"/>
      <w:ind w:left="2693" w:hanging="2693"/>
    </w:pPr>
    <w:rPr>
      <w:b w:val="0"/>
      <w:bCs/>
    </w:rPr>
  </w:style>
  <w:style w:type="paragraph" w:styleId="TOC1">
    <w:name w:val="toc 1"/>
    <w:aliases w:val="Observation TOC2"/>
    <w:uiPriority w:val="39"/>
    <w:rsid w:val="00EA65C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65CA"/>
    <w:pPr>
      <w:keepNext/>
      <w:keepLines/>
      <w:spacing w:before="180"/>
      <w:jc w:val="center"/>
    </w:pPr>
  </w:style>
  <w:style w:type="paragraph" w:styleId="Caption">
    <w:name w:val="caption"/>
    <w:basedOn w:val="Normal"/>
    <w:next w:val="Normal"/>
    <w:qFormat/>
    <w:rsid w:val="00EA65CA"/>
    <w:pPr>
      <w:spacing w:after="240"/>
      <w:jc w:val="center"/>
    </w:pPr>
    <w:rPr>
      <w:b/>
      <w:bCs/>
    </w:rPr>
  </w:style>
  <w:style w:type="paragraph" w:styleId="TOC5">
    <w:name w:val="toc 5"/>
    <w:aliases w:val="Observation TOC"/>
    <w:basedOn w:val="TOC4"/>
    <w:semiHidden/>
    <w:rsid w:val="00EA65CA"/>
    <w:pPr>
      <w:tabs>
        <w:tab w:val="right" w:pos="1701"/>
      </w:tabs>
      <w:ind w:left="1701" w:hanging="1701"/>
    </w:pPr>
  </w:style>
  <w:style w:type="paragraph" w:styleId="TOC4">
    <w:name w:val="toc 4"/>
    <w:basedOn w:val="TOC3"/>
    <w:semiHidden/>
    <w:rsid w:val="00EA65CA"/>
    <w:pPr>
      <w:ind w:left="1418" w:hanging="1418"/>
    </w:pPr>
  </w:style>
  <w:style w:type="paragraph" w:styleId="TOC3">
    <w:name w:val="toc 3"/>
    <w:basedOn w:val="TOC2"/>
    <w:semiHidden/>
    <w:rsid w:val="00EA65CA"/>
    <w:pPr>
      <w:ind w:left="1134" w:hanging="1134"/>
    </w:pPr>
  </w:style>
  <w:style w:type="paragraph" w:styleId="TOC2">
    <w:name w:val="toc 2"/>
    <w:basedOn w:val="TOC1"/>
    <w:semiHidden/>
    <w:rsid w:val="00EA65CA"/>
    <w:pPr>
      <w:keepNext w:val="0"/>
      <w:spacing w:before="0"/>
      <w:ind w:left="851" w:hanging="851"/>
    </w:pPr>
    <w:rPr>
      <w:szCs w:val="20"/>
    </w:rPr>
  </w:style>
  <w:style w:type="paragraph" w:styleId="Index2">
    <w:name w:val="index 2"/>
    <w:basedOn w:val="Index1"/>
    <w:semiHidden/>
    <w:rsid w:val="00EA65CA"/>
    <w:pPr>
      <w:ind w:left="284"/>
    </w:pPr>
  </w:style>
  <w:style w:type="paragraph" w:styleId="Index1">
    <w:name w:val="index 1"/>
    <w:basedOn w:val="Normal"/>
    <w:semiHidden/>
    <w:rsid w:val="00EA65CA"/>
    <w:pPr>
      <w:keepLines/>
      <w:spacing w:after="0"/>
    </w:pPr>
  </w:style>
  <w:style w:type="paragraph" w:styleId="DocumentMap">
    <w:name w:val="Document Map"/>
    <w:basedOn w:val="Normal"/>
    <w:semiHidden/>
    <w:rsid w:val="00EA65CA"/>
    <w:pPr>
      <w:shd w:val="clear" w:color="auto" w:fill="000080"/>
    </w:pPr>
    <w:rPr>
      <w:rFonts w:ascii="Tahoma" w:hAnsi="Tahoma" w:cs="Tahoma"/>
    </w:rPr>
  </w:style>
  <w:style w:type="paragraph" w:styleId="ListNumber2">
    <w:name w:val="List Number 2"/>
    <w:basedOn w:val="ListNumber"/>
    <w:rsid w:val="00EA65CA"/>
    <w:pPr>
      <w:ind w:left="851"/>
    </w:pPr>
  </w:style>
  <w:style w:type="paragraph" w:styleId="ListNumber">
    <w:name w:val="List Number"/>
    <w:basedOn w:val="List"/>
    <w:rsid w:val="00EA65CA"/>
  </w:style>
  <w:style w:type="paragraph" w:styleId="List">
    <w:name w:val="List"/>
    <w:basedOn w:val="Normal"/>
    <w:rsid w:val="00EA65CA"/>
    <w:pPr>
      <w:ind w:left="568" w:hanging="284"/>
    </w:pPr>
  </w:style>
  <w:style w:type="paragraph" w:styleId="Header">
    <w:name w:val="header"/>
    <w:link w:val="HeaderChar"/>
    <w:rsid w:val="00EA65C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65CA"/>
    <w:rPr>
      <w:b/>
      <w:bCs/>
      <w:position w:val="6"/>
      <w:sz w:val="16"/>
      <w:szCs w:val="16"/>
    </w:rPr>
  </w:style>
  <w:style w:type="paragraph" w:styleId="FootnoteText">
    <w:name w:val="footnote text"/>
    <w:basedOn w:val="Normal"/>
    <w:semiHidden/>
    <w:rsid w:val="00EA65CA"/>
    <w:pPr>
      <w:keepLines/>
      <w:spacing w:after="0"/>
      <w:ind w:left="454" w:hanging="454"/>
    </w:pPr>
    <w:rPr>
      <w:sz w:val="16"/>
      <w:szCs w:val="16"/>
    </w:rPr>
  </w:style>
  <w:style w:type="paragraph" w:customStyle="1" w:styleId="3GPPHeader">
    <w:name w:val="3GPP_Header"/>
    <w:basedOn w:val="Normal"/>
    <w:rsid w:val="00EA65CA"/>
    <w:pPr>
      <w:tabs>
        <w:tab w:val="left" w:pos="1701"/>
        <w:tab w:val="right" w:pos="9639"/>
      </w:tabs>
      <w:spacing w:after="240"/>
    </w:pPr>
    <w:rPr>
      <w:b/>
      <w:sz w:val="24"/>
    </w:rPr>
  </w:style>
  <w:style w:type="paragraph" w:styleId="TOC9">
    <w:name w:val="toc 9"/>
    <w:basedOn w:val="TOC8"/>
    <w:semiHidden/>
    <w:rsid w:val="00EA65CA"/>
    <w:pPr>
      <w:ind w:left="1418" w:hanging="1418"/>
    </w:pPr>
  </w:style>
  <w:style w:type="paragraph" w:styleId="TOC6">
    <w:name w:val="toc 6"/>
    <w:basedOn w:val="TOC5"/>
    <w:next w:val="Normal"/>
    <w:semiHidden/>
    <w:rsid w:val="00EA65CA"/>
    <w:pPr>
      <w:ind w:left="1985" w:hanging="1985"/>
    </w:pPr>
  </w:style>
  <w:style w:type="paragraph" w:styleId="TOC7">
    <w:name w:val="toc 7"/>
    <w:basedOn w:val="TOC6"/>
    <w:next w:val="Normal"/>
    <w:semiHidden/>
    <w:rsid w:val="00EA65CA"/>
    <w:pPr>
      <w:ind w:left="2268" w:hanging="2268"/>
    </w:pPr>
  </w:style>
  <w:style w:type="paragraph" w:styleId="ListBullet2">
    <w:name w:val="List Bullet 2"/>
    <w:basedOn w:val="ListBullet"/>
    <w:rsid w:val="00EA65CA"/>
    <w:pPr>
      <w:numPr>
        <w:numId w:val="6"/>
      </w:numPr>
    </w:pPr>
  </w:style>
  <w:style w:type="paragraph" w:styleId="ListBullet">
    <w:name w:val="List Bullet"/>
    <w:basedOn w:val="BodyText"/>
    <w:rsid w:val="00EA65CA"/>
    <w:pPr>
      <w:numPr>
        <w:numId w:val="5"/>
      </w:numPr>
    </w:pPr>
  </w:style>
  <w:style w:type="paragraph" w:styleId="ListBullet3">
    <w:name w:val="List Bullet 3"/>
    <w:basedOn w:val="ListBullet2"/>
    <w:rsid w:val="00EA65CA"/>
    <w:pPr>
      <w:numPr>
        <w:numId w:val="7"/>
      </w:numPr>
    </w:pPr>
  </w:style>
  <w:style w:type="paragraph" w:customStyle="1" w:styleId="EQ">
    <w:name w:val="EQ"/>
    <w:basedOn w:val="Normal"/>
    <w:next w:val="Normal"/>
    <w:rsid w:val="00EA65CA"/>
    <w:pPr>
      <w:keepLines/>
      <w:tabs>
        <w:tab w:val="center" w:pos="4536"/>
        <w:tab w:val="right" w:pos="9072"/>
      </w:tabs>
      <w:spacing w:after="180"/>
      <w:jc w:val="left"/>
    </w:pPr>
    <w:rPr>
      <w:noProof/>
      <w:lang w:eastAsia="en-US"/>
    </w:rPr>
  </w:style>
  <w:style w:type="paragraph" w:styleId="List2">
    <w:name w:val="List 2"/>
    <w:basedOn w:val="List"/>
    <w:rsid w:val="00EA65CA"/>
    <w:pPr>
      <w:ind w:left="851"/>
    </w:pPr>
  </w:style>
  <w:style w:type="paragraph" w:styleId="List3">
    <w:name w:val="List 3"/>
    <w:basedOn w:val="List2"/>
    <w:rsid w:val="00EA65CA"/>
    <w:pPr>
      <w:ind w:left="1135"/>
    </w:pPr>
  </w:style>
  <w:style w:type="paragraph" w:styleId="List4">
    <w:name w:val="List 4"/>
    <w:basedOn w:val="List3"/>
    <w:rsid w:val="00EA65CA"/>
    <w:pPr>
      <w:ind w:left="1418"/>
    </w:pPr>
  </w:style>
  <w:style w:type="paragraph" w:styleId="List5">
    <w:name w:val="List 5"/>
    <w:basedOn w:val="List4"/>
    <w:rsid w:val="00EA65CA"/>
    <w:pPr>
      <w:ind w:left="1702"/>
    </w:pPr>
  </w:style>
  <w:style w:type="paragraph" w:customStyle="1" w:styleId="EditorsNote">
    <w:name w:val="Editor's Note"/>
    <w:basedOn w:val="Normal"/>
    <w:rsid w:val="00EA65CA"/>
    <w:pPr>
      <w:keepLines/>
      <w:spacing w:after="180"/>
      <w:ind w:left="1135" w:hanging="851"/>
      <w:jc w:val="left"/>
    </w:pPr>
    <w:rPr>
      <w:color w:val="FF0000"/>
      <w:lang w:eastAsia="en-US"/>
    </w:rPr>
  </w:style>
  <w:style w:type="paragraph" w:styleId="ListBullet4">
    <w:name w:val="List Bullet 4"/>
    <w:basedOn w:val="ListBullet3"/>
    <w:rsid w:val="00EA65CA"/>
    <w:pPr>
      <w:numPr>
        <w:numId w:val="8"/>
      </w:numPr>
    </w:pPr>
  </w:style>
  <w:style w:type="paragraph" w:styleId="ListBullet5">
    <w:name w:val="List Bullet 5"/>
    <w:basedOn w:val="ListBullet4"/>
    <w:rsid w:val="00EA65CA"/>
    <w:pPr>
      <w:numPr>
        <w:numId w:val="4"/>
      </w:numPr>
    </w:pPr>
  </w:style>
  <w:style w:type="paragraph" w:styleId="Footer">
    <w:name w:val="footer"/>
    <w:basedOn w:val="Header"/>
    <w:semiHidden/>
    <w:rsid w:val="00EA65CA"/>
    <w:pPr>
      <w:jc w:val="center"/>
    </w:pPr>
    <w:rPr>
      <w:i/>
      <w:iCs/>
    </w:rPr>
  </w:style>
  <w:style w:type="paragraph" w:customStyle="1" w:styleId="Reference">
    <w:name w:val="Reference"/>
    <w:basedOn w:val="Normal"/>
    <w:rsid w:val="00EA65CA"/>
    <w:pPr>
      <w:numPr>
        <w:numId w:val="2"/>
      </w:numPr>
    </w:pPr>
  </w:style>
  <w:style w:type="paragraph" w:styleId="BalloonText">
    <w:name w:val="Balloon Text"/>
    <w:basedOn w:val="Normal"/>
    <w:semiHidden/>
    <w:rsid w:val="00EA65CA"/>
    <w:rPr>
      <w:rFonts w:ascii="Tahoma" w:hAnsi="Tahoma" w:cs="Tahoma"/>
      <w:sz w:val="16"/>
      <w:szCs w:val="16"/>
    </w:rPr>
  </w:style>
  <w:style w:type="character" w:styleId="PageNumber">
    <w:name w:val="page number"/>
    <w:basedOn w:val="DefaultParagraphFont"/>
    <w:semiHidden/>
    <w:rsid w:val="00EA65CA"/>
  </w:style>
  <w:style w:type="paragraph" w:styleId="BodyText">
    <w:name w:val="Body Text"/>
    <w:basedOn w:val="Normal"/>
    <w:link w:val="BodyTextChar"/>
    <w:rsid w:val="00EA65CA"/>
  </w:style>
  <w:style w:type="character" w:styleId="Hyperlink">
    <w:name w:val="Hyperlink"/>
    <w:uiPriority w:val="99"/>
    <w:rsid w:val="00EA65CA"/>
    <w:rPr>
      <w:color w:val="0000FF"/>
      <w:u w:val="single"/>
      <w:lang w:val="en-GB"/>
    </w:rPr>
  </w:style>
  <w:style w:type="character" w:styleId="FollowedHyperlink">
    <w:name w:val="FollowedHyperlink"/>
    <w:semiHidden/>
    <w:rsid w:val="00EA65CA"/>
    <w:rPr>
      <w:color w:val="FF0000"/>
      <w:u w:val="single"/>
    </w:rPr>
  </w:style>
  <w:style w:type="character" w:styleId="CommentReference">
    <w:name w:val="annotation reference"/>
    <w:semiHidden/>
    <w:rsid w:val="00EA65CA"/>
    <w:rPr>
      <w:sz w:val="16"/>
      <w:szCs w:val="16"/>
    </w:rPr>
  </w:style>
  <w:style w:type="paragraph" w:styleId="CommentText">
    <w:name w:val="annotation text"/>
    <w:basedOn w:val="Normal"/>
    <w:link w:val="CommentTextChar"/>
    <w:semiHidden/>
    <w:rsid w:val="00EA65CA"/>
  </w:style>
  <w:style w:type="paragraph" w:styleId="CommentSubject">
    <w:name w:val="annotation subject"/>
    <w:basedOn w:val="CommentText"/>
    <w:next w:val="CommentText"/>
    <w:semiHidden/>
    <w:rsid w:val="00EA65C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A65CA"/>
    <w:rPr>
      <w:rFonts w:ascii="Arial" w:hAnsi="Arial" w:cs="Arial"/>
      <w:sz w:val="36"/>
      <w:szCs w:val="36"/>
      <w:lang w:val="en-GB" w:eastAsia="zh-CN"/>
    </w:rPr>
  </w:style>
  <w:style w:type="paragraph" w:customStyle="1" w:styleId="B1">
    <w:name w:val="B1"/>
    <w:basedOn w:val="List"/>
    <w:link w:val="B1Char"/>
    <w:rsid w:val="00EA65CA"/>
    <w:pPr>
      <w:spacing w:after="180"/>
      <w:jc w:val="left"/>
    </w:pPr>
    <w:rPr>
      <w:lang w:eastAsia="en-US"/>
    </w:rPr>
  </w:style>
  <w:style w:type="paragraph" w:customStyle="1" w:styleId="B2">
    <w:name w:val="B2"/>
    <w:basedOn w:val="List2"/>
    <w:link w:val="B2Car"/>
    <w:rsid w:val="00EA65CA"/>
    <w:pPr>
      <w:spacing w:after="180"/>
      <w:jc w:val="left"/>
    </w:pPr>
    <w:rPr>
      <w:lang w:eastAsia="en-US"/>
    </w:rPr>
  </w:style>
  <w:style w:type="paragraph" w:customStyle="1" w:styleId="B3">
    <w:name w:val="B3"/>
    <w:basedOn w:val="List3"/>
    <w:link w:val="B3Char"/>
    <w:rsid w:val="00EA65CA"/>
    <w:pPr>
      <w:spacing w:after="180"/>
      <w:jc w:val="left"/>
    </w:pPr>
    <w:rPr>
      <w:lang w:eastAsia="en-US"/>
    </w:rPr>
  </w:style>
  <w:style w:type="paragraph" w:customStyle="1" w:styleId="B4">
    <w:name w:val="B4"/>
    <w:basedOn w:val="List4"/>
    <w:link w:val="B4Char"/>
    <w:rsid w:val="00EA65CA"/>
    <w:pPr>
      <w:spacing w:after="180"/>
      <w:jc w:val="left"/>
    </w:pPr>
    <w:rPr>
      <w:lang w:eastAsia="en-US"/>
    </w:rPr>
  </w:style>
  <w:style w:type="paragraph" w:customStyle="1" w:styleId="Proposal">
    <w:name w:val="Proposal"/>
    <w:basedOn w:val="Normal"/>
    <w:rsid w:val="00EA65CA"/>
    <w:pPr>
      <w:numPr>
        <w:numId w:val="3"/>
      </w:numPr>
      <w:tabs>
        <w:tab w:val="clear" w:pos="1304"/>
        <w:tab w:val="left" w:pos="1701"/>
      </w:tabs>
      <w:ind w:left="1701" w:hanging="1701"/>
    </w:pPr>
    <w:rPr>
      <w:b/>
      <w:bCs/>
    </w:rPr>
  </w:style>
  <w:style w:type="character" w:customStyle="1" w:styleId="BodyTextChar">
    <w:name w:val="Body Text Char"/>
    <w:link w:val="BodyText"/>
    <w:rsid w:val="00EA65CA"/>
    <w:rPr>
      <w:rFonts w:ascii="Arial" w:hAnsi="Arial"/>
      <w:lang w:val="en-GB" w:eastAsia="zh-CN"/>
    </w:rPr>
  </w:style>
  <w:style w:type="paragraph" w:customStyle="1" w:styleId="B5">
    <w:name w:val="B5"/>
    <w:basedOn w:val="List5"/>
    <w:rsid w:val="00EA65CA"/>
    <w:pPr>
      <w:spacing w:after="180"/>
      <w:jc w:val="left"/>
    </w:pPr>
    <w:rPr>
      <w:lang w:eastAsia="en-US"/>
    </w:rPr>
  </w:style>
  <w:style w:type="paragraph" w:customStyle="1" w:styleId="EX">
    <w:name w:val="EX"/>
    <w:basedOn w:val="Normal"/>
    <w:rsid w:val="00EA65CA"/>
    <w:pPr>
      <w:keepLines/>
      <w:spacing w:after="180"/>
      <w:ind w:left="1702" w:hanging="1418"/>
      <w:jc w:val="left"/>
    </w:pPr>
    <w:rPr>
      <w:lang w:eastAsia="en-US"/>
    </w:rPr>
  </w:style>
  <w:style w:type="paragraph" w:customStyle="1" w:styleId="EW">
    <w:name w:val="EW"/>
    <w:basedOn w:val="EX"/>
    <w:rsid w:val="00EA65CA"/>
    <w:pPr>
      <w:spacing w:after="0"/>
    </w:pPr>
  </w:style>
  <w:style w:type="paragraph" w:customStyle="1" w:styleId="TAL">
    <w:name w:val="TAL"/>
    <w:basedOn w:val="Normal"/>
    <w:rsid w:val="00EA65CA"/>
    <w:pPr>
      <w:keepNext/>
      <w:keepLines/>
      <w:spacing w:after="0"/>
      <w:jc w:val="left"/>
    </w:pPr>
    <w:rPr>
      <w:sz w:val="18"/>
      <w:lang w:eastAsia="en-US"/>
    </w:rPr>
  </w:style>
  <w:style w:type="paragraph" w:customStyle="1" w:styleId="TAC">
    <w:name w:val="TAC"/>
    <w:basedOn w:val="TAL"/>
    <w:rsid w:val="00EA65CA"/>
    <w:pPr>
      <w:jc w:val="center"/>
    </w:pPr>
  </w:style>
  <w:style w:type="paragraph" w:customStyle="1" w:styleId="TAH">
    <w:name w:val="TAH"/>
    <w:basedOn w:val="TAC"/>
    <w:rsid w:val="00EA65CA"/>
    <w:rPr>
      <w:b/>
    </w:rPr>
  </w:style>
  <w:style w:type="paragraph" w:customStyle="1" w:styleId="TAN">
    <w:name w:val="TAN"/>
    <w:basedOn w:val="TAL"/>
    <w:rsid w:val="00EA65CA"/>
    <w:pPr>
      <w:ind w:left="851" w:hanging="851"/>
    </w:pPr>
  </w:style>
  <w:style w:type="paragraph" w:customStyle="1" w:styleId="TAR">
    <w:name w:val="TAR"/>
    <w:basedOn w:val="TAL"/>
    <w:rsid w:val="00EA65CA"/>
    <w:pPr>
      <w:jc w:val="right"/>
    </w:pPr>
  </w:style>
  <w:style w:type="paragraph" w:customStyle="1" w:styleId="TH">
    <w:name w:val="TH"/>
    <w:basedOn w:val="Normal"/>
    <w:link w:val="THChar"/>
    <w:rsid w:val="00EA65CA"/>
    <w:pPr>
      <w:keepNext/>
      <w:keepLines/>
      <w:spacing w:before="60" w:after="180"/>
      <w:jc w:val="center"/>
    </w:pPr>
    <w:rPr>
      <w:b/>
      <w:lang w:eastAsia="en-US"/>
    </w:rPr>
  </w:style>
  <w:style w:type="paragraph" w:customStyle="1" w:styleId="TF">
    <w:name w:val="TF"/>
    <w:basedOn w:val="TH"/>
    <w:link w:val="TFChar"/>
    <w:rsid w:val="00EA65CA"/>
    <w:pPr>
      <w:keepNext w:val="0"/>
      <w:spacing w:before="0" w:after="240"/>
    </w:pPr>
  </w:style>
  <w:style w:type="paragraph" w:customStyle="1" w:styleId="TT">
    <w:name w:val="TT"/>
    <w:basedOn w:val="Heading1"/>
    <w:next w:val="Normal"/>
    <w:rsid w:val="00EA65CA"/>
    <w:pPr>
      <w:numPr>
        <w:numId w:val="0"/>
      </w:numPr>
      <w:ind w:left="1134" w:hanging="1134"/>
      <w:outlineLvl w:val="9"/>
    </w:pPr>
    <w:rPr>
      <w:rFonts w:cs="Times New Roman"/>
      <w:szCs w:val="20"/>
      <w:lang w:eastAsia="en-US"/>
    </w:rPr>
  </w:style>
  <w:style w:type="paragraph" w:customStyle="1" w:styleId="ZA">
    <w:name w:val="ZA"/>
    <w:rsid w:val="00EA65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65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65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65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65CA"/>
  </w:style>
  <w:style w:type="paragraph" w:customStyle="1" w:styleId="ZH">
    <w:name w:val="ZH"/>
    <w:rsid w:val="00EA65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65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A65CA"/>
    <w:pPr>
      <w:framePr w:hRule="auto" w:wrap="notBeside" w:y="852"/>
    </w:pPr>
    <w:rPr>
      <w:i w:val="0"/>
      <w:sz w:val="40"/>
    </w:rPr>
  </w:style>
  <w:style w:type="paragraph" w:customStyle="1" w:styleId="ZU">
    <w:name w:val="ZU"/>
    <w:rsid w:val="00EA65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65CA"/>
    <w:pPr>
      <w:framePr w:wrap="notBeside" w:y="16161"/>
    </w:pPr>
  </w:style>
  <w:style w:type="paragraph" w:customStyle="1" w:styleId="FP">
    <w:name w:val="FP"/>
    <w:basedOn w:val="Normal"/>
    <w:rsid w:val="00EA65CA"/>
    <w:pPr>
      <w:spacing w:after="0"/>
      <w:jc w:val="left"/>
    </w:pPr>
    <w:rPr>
      <w:lang w:eastAsia="en-US"/>
    </w:rPr>
  </w:style>
  <w:style w:type="paragraph" w:customStyle="1" w:styleId="Observation">
    <w:name w:val="Observation"/>
    <w:basedOn w:val="Proposal"/>
    <w:qFormat/>
    <w:rsid w:val="00EA65CA"/>
    <w:pPr>
      <w:numPr>
        <w:numId w:val="13"/>
      </w:numPr>
      <w:ind w:left="1701" w:hanging="1701"/>
    </w:pPr>
  </w:style>
  <w:style w:type="paragraph" w:styleId="TableofFigures">
    <w:name w:val="table of figures"/>
    <w:basedOn w:val="Normal"/>
    <w:next w:val="Normal"/>
    <w:uiPriority w:val="99"/>
    <w:rsid w:val="00EA65CA"/>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ghtList-Accent31">
    <w:name w:val="Light List - Accent 31"/>
    <w:hidden/>
    <w:uiPriority w:val="99"/>
    <w:semiHidden/>
    <w:rsid w:val="00E71AA1"/>
    <w:rPr>
      <w:rFonts w:ascii="Arial" w:hAnsi="Arial"/>
      <w:lang w:val="en-GB" w:eastAsia="zh-CN"/>
    </w:rPr>
  </w:style>
  <w:style w:type="paragraph" w:customStyle="1" w:styleId="LightGrid-Accent31">
    <w:name w:val="Light Grid - Accent 31"/>
    <w:basedOn w:val="Normal"/>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paragraph" w:customStyle="1" w:styleId="IvDInstructiontext">
    <w:name w:val="IvD Instructiontext"/>
    <w:basedOn w:val="BodyText"/>
    <w:link w:val="IvDInstructiontextChar"/>
    <w:uiPriority w:val="99"/>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C01C6A"/>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C01C6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01C6A"/>
    <w:rPr>
      <w:rFonts w:ascii="Arial" w:hAnsi="Arial"/>
      <w:spacing w:val="2"/>
      <w:lang w:val="en-US" w:eastAsia="en-US"/>
    </w:rPr>
  </w:style>
  <w:style w:type="paragraph" w:customStyle="1" w:styleId="Pro">
    <w:name w:val="Pro"/>
    <w:basedOn w:val="Normal"/>
    <w:qFormat/>
    <w:rsid w:val="00731BAB"/>
  </w:style>
  <w:style w:type="character" w:customStyle="1" w:styleId="B1Char">
    <w:name w:val="B1 Char"/>
    <w:link w:val="B1"/>
    <w:locked/>
    <w:rsid w:val="00BE18D1"/>
    <w:rPr>
      <w:rFonts w:ascii="Arial" w:hAnsi="Arial"/>
      <w:lang w:val="en-GB" w:eastAsia="en-US"/>
    </w:rPr>
  </w:style>
  <w:style w:type="paragraph" w:customStyle="1" w:styleId="Doc-text2">
    <w:name w:val="Doc-text2"/>
    <w:basedOn w:val="Normal"/>
    <w:link w:val="Doc-text2Char"/>
    <w:qFormat/>
    <w:rsid w:val="005756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756B5"/>
    <w:rPr>
      <w:rFonts w:ascii="Arial" w:eastAsia="MS Mincho" w:hAnsi="Arial"/>
      <w:szCs w:val="24"/>
      <w:lang w:val="en-GB" w:eastAsia="en-GB"/>
    </w:rPr>
  </w:style>
  <w:style w:type="paragraph" w:styleId="Revision">
    <w:name w:val="Revision"/>
    <w:hidden/>
    <w:uiPriority w:val="71"/>
    <w:semiHidden/>
    <w:rsid w:val="00AE3757"/>
    <w:rPr>
      <w:rFonts w:ascii="Arial" w:hAnsi="Arial"/>
      <w:lang w:val="en-GB" w:eastAsia="zh-CN"/>
    </w:rPr>
  </w:style>
  <w:style w:type="table" w:styleId="TableGrid">
    <w:name w:val="Table Grid"/>
    <w:basedOn w:val="TableNormal"/>
    <w:rsid w:val="00BE5C7A"/>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32D77"/>
    <w:pPr>
      <w:ind w:left="720"/>
      <w:contextualSpacing/>
    </w:pPr>
  </w:style>
  <w:style w:type="paragraph" w:customStyle="1" w:styleId="NO">
    <w:name w:val="NO"/>
    <w:basedOn w:val="Normal"/>
    <w:rsid w:val="00564922"/>
    <w:pPr>
      <w:keepLines/>
      <w:overflowPunct/>
      <w:autoSpaceDE/>
      <w:autoSpaceDN/>
      <w:adjustRightInd/>
      <w:spacing w:after="180"/>
      <w:ind w:left="1135" w:hanging="851"/>
      <w:jc w:val="left"/>
      <w:textAlignment w:val="auto"/>
    </w:pPr>
    <w:rPr>
      <w:rFonts w:ascii="Times New Roman" w:eastAsia="MS Mincho" w:hAnsi="Times New Roman"/>
      <w:lang w:eastAsia="en-US"/>
    </w:rPr>
  </w:style>
  <w:style w:type="character" w:customStyle="1" w:styleId="B1Zchn">
    <w:name w:val="B1 Zchn"/>
    <w:basedOn w:val="DefaultParagraphFont"/>
    <w:locked/>
    <w:rsid w:val="00564922"/>
    <w:rPr>
      <w:rFonts w:ascii="Arial" w:eastAsia="SimSun" w:hAnsi="Arial" w:cs="Arial"/>
      <w:color w:val="0000FF"/>
      <w:kern w:val="2"/>
      <w:lang w:val="en-GB" w:eastAsia="en-US" w:bidi="ar-SA"/>
    </w:rPr>
  </w:style>
  <w:style w:type="character" w:customStyle="1" w:styleId="B2Car">
    <w:name w:val="B2 Car"/>
    <w:link w:val="B2"/>
    <w:locked/>
    <w:rsid w:val="00565C59"/>
    <w:rPr>
      <w:rFonts w:ascii="Arial" w:hAnsi="Arial"/>
      <w:lang w:val="en-GB" w:eastAsia="en-US"/>
    </w:rPr>
  </w:style>
  <w:style w:type="character" w:customStyle="1" w:styleId="B2Char">
    <w:name w:val="B2 Char"/>
    <w:rsid w:val="00123067"/>
    <w:rPr>
      <w:lang w:val="en-GB"/>
    </w:rPr>
  </w:style>
  <w:style w:type="character" w:customStyle="1" w:styleId="B3Char">
    <w:name w:val="B3 Char"/>
    <w:link w:val="B3"/>
    <w:rsid w:val="00123067"/>
    <w:rPr>
      <w:rFonts w:ascii="Arial" w:hAnsi="Arial"/>
      <w:lang w:val="en-GB" w:eastAsia="en-US"/>
    </w:rPr>
  </w:style>
  <w:style w:type="character" w:customStyle="1" w:styleId="B4Char">
    <w:name w:val="B4 Char"/>
    <w:link w:val="B4"/>
    <w:rsid w:val="00123067"/>
    <w:rPr>
      <w:rFonts w:ascii="Arial" w:hAnsi="Arial"/>
      <w:lang w:val="en-GB" w:eastAsia="en-US"/>
    </w:rPr>
  </w:style>
  <w:style w:type="character" w:customStyle="1" w:styleId="CommentTextChar">
    <w:name w:val="Comment Text Char"/>
    <w:basedOn w:val="DefaultParagraphFont"/>
    <w:link w:val="CommentText"/>
    <w:semiHidden/>
    <w:rsid w:val="00856B4C"/>
    <w:rPr>
      <w:rFonts w:ascii="Arial" w:hAnsi="Arial"/>
      <w:lang w:val="en-GB" w:eastAsia="zh-CN"/>
    </w:rPr>
  </w:style>
  <w:style w:type="character" w:customStyle="1" w:styleId="THChar">
    <w:name w:val="TH Char"/>
    <w:link w:val="TH"/>
    <w:locked/>
    <w:rsid w:val="009D4941"/>
    <w:rPr>
      <w:rFonts w:ascii="Arial" w:hAnsi="Arial"/>
      <w:b/>
      <w:lang w:val="en-GB" w:eastAsia="en-US"/>
    </w:rPr>
  </w:style>
  <w:style w:type="character" w:customStyle="1" w:styleId="TFChar">
    <w:name w:val="TF Char"/>
    <w:link w:val="TF"/>
    <w:locked/>
    <w:rsid w:val="009D4941"/>
    <w:rPr>
      <w:rFonts w:ascii="Arial" w:hAnsi="Arial"/>
      <w:b/>
      <w:lang w:val="en-GB" w:eastAsia="en-US"/>
    </w:rPr>
  </w:style>
  <w:style w:type="character" w:customStyle="1" w:styleId="HeaderChar">
    <w:name w:val="Header Char"/>
    <w:link w:val="Header"/>
    <w:rsid w:val="008C5807"/>
    <w:rPr>
      <w:rFonts w:ascii="Arial" w:hAnsi="Arial" w:cs="Arial"/>
      <w:b/>
      <w:bCs/>
      <w:noProof/>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97849">
      <w:bodyDiv w:val="1"/>
      <w:marLeft w:val="0"/>
      <w:marRight w:val="0"/>
      <w:marTop w:val="0"/>
      <w:marBottom w:val="0"/>
      <w:divBdr>
        <w:top w:val="none" w:sz="0" w:space="0" w:color="auto"/>
        <w:left w:val="none" w:sz="0" w:space="0" w:color="auto"/>
        <w:bottom w:val="none" w:sz="0" w:space="0" w:color="auto"/>
        <w:right w:val="none" w:sz="0" w:space="0" w:color="auto"/>
      </w:divBdr>
      <w:divsChild>
        <w:div w:id="359356572">
          <w:marLeft w:val="0"/>
          <w:marRight w:val="0"/>
          <w:marTop w:val="0"/>
          <w:marBottom w:val="0"/>
          <w:divBdr>
            <w:top w:val="none" w:sz="0" w:space="0" w:color="auto"/>
            <w:left w:val="none" w:sz="0" w:space="0" w:color="auto"/>
            <w:bottom w:val="none" w:sz="0" w:space="0" w:color="auto"/>
            <w:right w:val="none" w:sz="0" w:space="0" w:color="auto"/>
          </w:divBdr>
          <w:divsChild>
            <w:div w:id="9816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2597">
      <w:bodyDiv w:val="1"/>
      <w:marLeft w:val="0"/>
      <w:marRight w:val="0"/>
      <w:marTop w:val="0"/>
      <w:marBottom w:val="0"/>
      <w:divBdr>
        <w:top w:val="none" w:sz="0" w:space="0" w:color="auto"/>
        <w:left w:val="none" w:sz="0" w:space="0" w:color="auto"/>
        <w:bottom w:val="none" w:sz="0" w:space="0" w:color="auto"/>
        <w:right w:val="none" w:sz="0" w:space="0" w:color="auto"/>
      </w:divBdr>
    </w:div>
    <w:div w:id="387999405">
      <w:bodyDiv w:val="1"/>
      <w:marLeft w:val="0"/>
      <w:marRight w:val="0"/>
      <w:marTop w:val="0"/>
      <w:marBottom w:val="0"/>
      <w:divBdr>
        <w:top w:val="none" w:sz="0" w:space="0" w:color="auto"/>
        <w:left w:val="none" w:sz="0" w:space="0" w:color="auto"/>
        <w:bottom w:val="none" w:sz="0" w:space="0" w:color="auto"/>
        <w:right w:val="none" w:sz="0" w:space="0" w:color="auto"/>
      </w:divBdr>
    </w:div>
    <w:div w:id="510724050">
      <w:bodyDiv w:val="1"/>
      <w:marLeft w:val="0"/>
      <w:marRight w:val="0"/>
      <w:marTop w:val="0"/>
      <w:marBottom w:val="0"/>
      <w:divBdr>
        <w:top w:val="none" w:sz="0" w:space="0" w:color="auto"/>
        <w:left w:val="none" w:sz="0" w:space="0" w:color="auto"/>
        <w:bottom w:val="none" w:sz="0" w:space="0" w:color="auto"/>
        <w:right w:val="none" w:sz="0" w:space="0" w:color="auto"/>
      </w:divBdr>
    </w:div>
    <w:div w:id="570579207">
      <w:bodyDiv w:val="1"/>
      <w:marLeft w:val="0"/>
      <w:marRight w:val="0"/>
      <w:marTop w:val="0"/>
      <w:marBottom w:val="0"/>
      <w:divBdr>
        <w:top w:val="none" w:sz="0" w:space="0" w:color="auto"/>
        <w:left w:val="none" w:sz="0" w:space="0" w:color="auto"/>
        <w:bottom w:val="none" w:sz="0" w:space="0" w:color="auto"/>
        <w:right w:val="none" w:sz="0" w:space="0" w:color="auto"/>
      </w:divBdr>
      <w:divsChild>
        <w:div w:id="483473324">
          <w:marLeft w:val="274"/>
          <w:marRight w:val="0"/>
          <w:marTop w:val="96"/>
          <w:marBottom w:val="0"/>
          <w:divBdr>
            <w:top w:val="none" w:sz="0" w:space="0" w:color="auto"/>
            <w:left w:val="none" w:sz="0" w:space="0" w:color="auto"/>
            <w:bottom w:val="none" w:sz="0" w:space="0" w:color="auto"/>
            <w:right w:val="none" w:sz="0" w:space="0" w:color="auto"/>
          </w:divBdr>
        </w:div>
        <w:div w:id="548108591">
          <w:marLeft w:val="274"/>
          <w:marRight w:val="0"/>
          <w:marTop w:val="96"/>
          <w:marBottom w:val="0"/>
          <w:divBdr>
            <w:top w:val="none" w:sz="0" w:space="0" w:color="auto"/>
            <w:left w:val="none" w:sz="0" w:space="0" w:color="auto"/>
            <w:bottom w:val="none" w:sz="0" w:space="0" w:color="auto"/>
            <w:right w:val="none" w:sz="0" w:space="0" w:color="auto"/>
          </w:divBdr>
        </w:div>
        <w:div w:id="768231522">
          <w:marLeft w:val="835"/>
          <w:marRight w:val="0"/>
          <w:marTop w:val="86"/>
          <w:marBottom w:val="0"/>
          <w:divBdr>
            <w:top w:val="none" w:sz="0" w:space="0" w:color="auto"/>
            <w:left w:val="none" w:sz="0" w:space="0" w:color="auto"/>
            <w:bottom w:val="none" w:sz="0" w:space="0" w:color="auto"/>
            <w:right w:val="none" w:sz="0" w:space="0" w:color="auto"/>
          </w:divBdr>
        </w:div>
        <w:div w:id="923756845">
          <w:marLeft w:val="274"/>
          <w:marRight w:val="0"/>
          <w:marTop w:val="96"/>
          <w:marBottom w:val="0"/>
          <w:divBdr>
            <w:top w:val="none" w:sz="0" w:space="0" w:color="auto"/>
            <w:left w:val="none" w:sz="0" w:space="0" w:color="auto"/>
            <w:bottom w:val="none" w:sz="0" w:space="0" w:color="auto"/>
            <w:right w:val="none" w:sz="0" w:space="0" w:color="auto"/>
          </w:divBdr>
        </w:div>
        <w:div w:id="1246572841">
          <w:marLeft w:val="835"/>
          <w:marRight w:val="0"/>
          <w:marTop w:val="77"/>
          <w:marBottom w:val="0"/>
          <w:divBdr>
            <w:top w:val="none" w:sz="0" w:space="0" w:color="auto"/>
            <w:left w:val="none" w:sz="0" w:space="0" w:color="auto"/>
            <w:bottom w:val="none" w:sz="0" w:space="0" w:color="auto"/>
            <w:right w:val="none" w:sz="0" w:space="0" w:color="auto"/>
          </w:divBdr>
        </w:div>
        <w:div w:id="1811481899">
          <w:marLeft w:val="274"/>
          <w:marRight w:val="0"/>
          <w:marTop w:val="96"/>
          <w:marBottom w:val="0"/>
          <w:divBdr>
            <w:top w:val="none" w:sz="0" w:space="0" w:color="auto"/>
            <w:left w:val="none" w:sz="0" w:space="0" w:color="auto"/>
            <w:bottom w:val="none" w:sz="0" w:space="0" w:color="auto"/>
            <w:right w:val="none" w:sz="0" w:space="0" w:color="auto"/>
          </w:divBdr>
        </w:div>
      </w:divsChild>
    </w:div>
    <w:div w:id="590087838">
      <w:bodyDiv w:val="1"/>
      <w:marLeft w:val="0"/>
      <w:marRight w:val="0"/>
      <w:marTop w:val="0"/>
      <w:marBottom w:val="0"/>
      <w:divBdr>
        <w:top w:val="none" w:sz="0" w:space="0" w:color="auto"/>
        <w:left w:val="none" w:sz="0" w:space="0" w:color="auto"/>
        <w:bottom w:val="none" w:sz="0" w:space="0" w:color="auto"/>
        <w:right w:val="none" w:sz="0" w:space="0" w:color="auto"/>
      </w:divBdr>
    </w:div>
    <w:div w:id="623386527">
      <w:bodyDiv w:val="1"/>
      <w:marLeft w:val="0"/>
      <w:marRight w:val="0"/>
      <w:marTop w:val="0"/>
      <w:marBottom w:val="0"/>
      <w:divBdr>
        <w:top w:val="none" w:sz="0" w:space="0" w:color="auto"/>
        <w:left w:val="none" w:sz="0" w:space="0" w:color="auto"/>
        <w:bottom w:val="none" w:sz="0" w:space="0" w:color="auto"/>
        <w:right w:val="none" w:sz="0" w:space="0" w:color="auto"/>
      </w:divBdr>
    </w:div>
    <w:div w:id="827134259">
      <w:bodyDiv w:val="1"/>
      <w:marLeft w:val="0"/>
      <w:marRight w:val="0"/>
      <w:marTop w:val="0"/>
      <w:marBottom w:val="0"/>
      <w:divBdr>
        <w:top w:val="none" w:sz="0" w:space="0" w:color="auto"/>
        <w:left w:val="none" w:sz="0" w:space="0" w:color="auto"/>
        <w:bottom w:val="none" w:sz="0" w:space="0" w:color="auto"/>
        <w:right w:val="none" w:sz="0" w:space="0" w:color="auto"/>
      </w:divBdr>
      <w:divsChild>
        <w:div w:id="999574184">
          <w:marLeft w:val="0"/>
          <w:marRight w:val="0"/>
          <w:marTop w:val="0"/>
          <w:marBottom w:val="0"/>
          <w:divBdr>
            <w:top w:val="none" w:sz="0" w:space="0" w:color="auto"/>
            <w:left w:val="none" w:sz="0" w:space="0" w:color="auto"/>
            <w:bottom w:val="none" w:sz="0" w:space="0" w:color="auto"/>
            <w:right w:val="none" w:sz="0" w:space="0" w:color="auto"/>
          </w:divBdr>
          <w:divsChild>
            <w:div w:id="392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758304">
      <w:bodyDiv w:val="1"/>
      <w:marLeft w:val="0"/>
      <w:marRight w:val="0"/>
      <w:marTop w:val="0"/>
      <w:marBottom w:val="0"/>
      <w:divBdr>
        <w:top w:val="none" w:sz="0" w:space="0" w:color="auto"/>
        <w:left w:val="none" w:sz="0" w:space="0" w:color="auto"/>
        <w:bottom w:val="none" w:sz="0" w:space="0" w:color="auto"/>
        <w:right w:val="none" w:sz="0" w:space="0" w:color="auto"/>
      </w:divBdr>
    </w:div>
    <w:div w:id="1139768692">
      <w:bodyDiv w:val="1"/>
      <w:marLeft w:val="0"/>
      <w:marRight w:val="0"/>
      <w:marTop w:val="0"/>
      <w:marBottom w:val="0"/>
      <w:divBdr>
        <w:top w:val="none" w:sz="0" w:space="0" w:color="auto"/>
        <w:left w:val="none" w:sz="0" w:space="0" w:color="auto"/>
        <w:bottom w:val="none" w:sz="0" w:space="0" w:color="auto"/>
        <w:right w:val="none" w:sz="0" w:space="0" w:color="auto"/>
      </w:divBdr>
    </w:div>
    <w:div w:id="1241604063">
      <w:bodyDiv w:val="1"/>
      <w:marLeft w:val="0"/>
      <w:marRight w:val="0"/>
      <w:marTop w:val="0"/>
      <w:marBottom w:val="0"/>
      <w:divBdr>
        <w:top w:val="none" w:sz="0" w:space="0" w:color="auto"/>
        <w:left w:val="none" w:sz="0" w:space="0" w:color="auto"/>
        <w:bottom w:val="none" w:sz="0" w:space="0" w:color="auto"/>
        <w:right w:val="none" w:sz="0" w:space="0" w:color="auto"/>
      </w:divBdr>
    </w:div>
    <w:div w:id="1266574693">
      <w:bodyDiv w:val="1"/>
      <w:marLeft w:val="0"/>
      <w:marRight w:val="0"/>
      <w:marTop w:val="0"/>
      <w:marBottom w:val="0"/>
      <w:divBdr>
        <w:top w:val="none" w:sz="0" w:space="0" w:color="auto"/>
        <w:left w:val="none" w:sz="0" w:space="0" w:color="auto"/>
        <w:bottom w:val="none" w:sz="0" w:space="0" w:color="auto"/>
        <w:right w:val="none" w:sz="0" w:space="0" w:color="auto"/>
      </w:divBdr>
    </w:div>
    <w:div w:id="1274946519">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315256425">
      <w:bodyDiv w:val="1"/>
      <w:marLeft w:val="0"/>
      <w:marRight w:val="0"/>
      <w:marTop w:val="0"/>
      <w:marBottom w:val="0"/>
      <w:divBdr>
        <w:top w:val="none" w:sz="0" w:space="0" w:color="auto"/>
        <w:left w:val="none" w:sz="0" w:space="0" w:color="auto"/>
        <w:bottom w:val="none" w:sz="0" w:space="0" w:color="auto"/>
        <w:right w:val="none" w:sz="0" w:space="0" w:color="auto"/>
      </w:divBdr>
      <w:divsChild>
        <w:div w:id="174808345">
          <w:marLeft w:val="274"/>
          <w:marRight w:val="0"/>
          <w:marTop w:val="115"/>
          <w:marBottom w:val="0"/>
          <w:divBdr>
            <w:top w:val="none" w:sz="0" w:space="0" w:color="auto"/>
            <w:left w:val="none" w:sz="0" w:space="0" w:color="auto"/>
            <w:bottom w:val="none" w:sz="0" w:space="0" w:color="auto"/>
            <w:right w:val="none" w:sz="0" w:space="0" w:color="auto"/>
          </w:divBdr>
        </w:div>
        <w:div w:id="576210502">
          <w:marLeft w:val="835"/>
          <w:marRight w:val="0"/>
          <w:marTop w:val="96"/>
          <w:marBottom w:val="0"/>
          <w:divBdr>
            <w:top w:val="none" w:sz="0" w:space="0" w:color="auto"/>
            <w:left w:val="none" w:sz="0" w:space="0" w:color="auto"/>
            <w:bottom w:val="none" w:sz="0" w:space="0" w:color="auto"/>
            <w:right w:val="none" w:sz="0" w:space="0" w:color="auto"/>
          </w:divBdr>
        </w:div>
        <w:div w:id="962032984">
          <w:marLeft w:val="835"/>
          <w:marRight w:val="0"/>
          <w:marTop w:val="96"/>
          <w:marBottom w:val="0"/>
          <w:divBdr>
            <w:top w:val="none" w:sz="0" w:space="0" w:color="auto"/>
            <w:left w:val="none" w:sz="0" w:space="0" w:color="auto"/>
            <w:bottom w:val="none" w:sz="0" w:space="0" w:color="auto"/>
            <w:right w:val="none" w:sz="0" w:space="0" w:color="auto"/>
          </w:divBdr>
        </w:div>
        <w:div w:id="1043216810">
          <w:marLeft w:val="835"/>
          <w:marRight w:val="0"/>
          <w:marTop w:val="96"/>
          <w:marBottom w:val="0"/>
          <w:divBdr>
            <w:top w:val="none" w:sz="0" w:space="0" w:color="auto"/>
            <w:left w:val="none" w:sz="0" w:space="0" w:color="auto"/>
            <w:bottom w:val="none" w:sz="0" w:space="0" w:color="auto"/>
            <w:right w:val="none" w:sz="0" w:space="0" w:color="auto"/>
          </w:divBdr>
        </w:div>
        <w:div w:id="1400713099">
          <w:marLeft w:val="274"/>
          <w:marRight w:val="0"/>
          <w:marTop w:val="115"/>
          <w:marBottom w:val="0"/>
          <w:divBdr>
            <w:top w:val="none" w:sz="0" w:space="0" w:color="auto"/>
            <w:left w:val="none" w:sz="0" w:space="0" w:color="auto"/>
            <w:bottom w:val="none" w:sz="0" w:space="0" w:color="auto"/>
            <w:right w:val="none" w:sz="0" w:space="0" w:color="auto"/>
          </w:divBdr>
        </w:div>
        <w:div w:id="2036081658">
          <w:marLeft w:val="274"/>
          <w:marRight w:val="0"/>
          <w:marTop w:val="115"/>
          <w:marBottom w:val="0"/>
          <w:divBdr>
            <w:top w:val="none" w:sz="0" w:space="0" w:color="auto"/>
            <w:left w:val="none" w:sz="0" w:space="0" w:color="auto"/>
            <w:bottom w:val="none" w:sz="0" w:space="0" w:color="auto"/>
            <w:right w:val="none" w:sz="0" w:space="0" w:color="auto"/>
          </w:divBdr>
        </w:div>
      </w:divsChild>
    </w:div>
    <w:div w:id="1371759229">
      <w:bodyDiv w:val="1"/>
      <w:marLeft w:val="0"/>
      <w:marRight w:val="0"/>
      <w:marTop w:val="0"/>
      <w:marBottom w:val="0"/>
      <w:divBdr>
        <w:top w:val="none" w:sz="0" w:space="0" w:color="auto"/>
        <w:left w:val="none" w:sz="0" w:space="0" w:color="auto"/>
        <w:bottom w:val="none" w:sz="0" w:space="0" w:color="auto"/>
        <w:right w:val="none" w:sz="0" w:space="0" w:color="auto"/>
      </w:divBdr>
    </w:div>
    <w:div w:id="1482964563">
      <w:bodyDiv w:val="1"/>
      <w:marLeft w:val="0"/>
      <w:marRight w:val="0"/>
      <w:marTop w:val="0"/>
      <w:marBottom w:val="0"/>
      <w:divBdr>
        <w:top w:val="none" w:sz="0" w:space="0" w:color="auto"/>
        <w:left w:val="none" w:sz="0" w:space="0" w:color="auto"/>
        <w:bottom w:val="none" w:sz="0" w:space="0" w:color="auto"/>
        <w:right w:val="none" w:sz="0" w:space="0" w:color="auto"/>
      </w:divBdr>
    </w:div>
    <w:div w:id="1495491158">
      <w:bodyDiv w:val="1"/>
      <w:marLeft w:val="0"/>
      <w:marRight w:val="0"/>
      <w:marTop w:val="0"/>
      <w:marBottom w:val="0"/>
      <w:divBdr>
        <w:top w:val="none" w:sz="0" w:space="0" w:color="auto"/>
        <w:left w:val="none" w:sz="0" w:space="0" w:color="auto"/>
        <w:bottom w:val="none" w:sz="0" w:space="0" w:color="auto"/>
        <w:right w:val="none" w:sz="0" w:space="0" w:color="auto"/>
      </w:divBdr>
    </w:div>
    <w:div w:id="1585912901">
      <w:bodyDiv w:val="1"/>
      <w:marLeft w:val="0"/>
      <w:marRight w:val="0"/>
      <w:marTop w:val="0"/>
      <w:marBottom w:val="0"/>
      <w:divBdr>
        <w:top w:val="none" w:sz="0" w:space="0" w:color="auto"/>
        <w:left w:val="none" w:sz="0" w:space="0" w:color="auto"/>
        <w:bottom w:val="none" w:sz="0" w:space="0" w:color="auto"/>
        <w:right w:val="none" w:sz="0" w:space="0" w:color="auto"/>
      </w:divBdr>
      <w:divsChild>
        <w:div w:id="175770920">
          <w:marLeft w:val="274"/>
          <w:marRight w:val="0"/>
          <w:marTop w:val="115"/>
          <w:marBottom w:val="0"/>
          <w:divBdr>
            <w:top w:val="none" w:sz="0" w:space="0" w:color="auto"/>
            <w:left w:val="none" w:sz="0" w:space="0" w:color="auto"/>
            <w:bottom w:val="none" w:sz="0" w:space="0" w:color="auto"/>
            <w:right w:val="none" w:sz="0" w:space="0" w:color="auto"/>
          </w:divBdr>
        </w:div>
        <w:div w:id="442186450">
          <w:marLeft w:val="835"/>
          <w:marRight w:val="0"/>
          <w:marTop w:val="96"/>
          <w:marBottom w:val="0"/>
          <w:divBdr>
            <w:top w:val="none" w:sz="0" w:space="0" w:color="auto"/>
            <w:left w:val="none" w:sz="0" w:space="0" w:color="auto"/>
            <w:bottom w:val="none" w:sz="0" w:space="0" w:color="auto"/>
            <w:right w:val="none" w:sz="0" w:space="0" w:color="auto"/>
          </w:divBdr>
        </w:div>
        <w:div w:id="2089619617">
          <w:marLeft w:val="835"/>
          <w:marRight w:val="0"/>
          <w:marTop w:val="96"/>
          <w:marBottom w:val="0"/>
          <w:divBdr>
            <w:top w:val="none" w:sz="0" w:space="0" w:color="auto"/>
            <w:left w:val="none" w:sz="0" w:space="0" w:color="auto"/>
            <w:bottom w:val="none" w:sz="0" w:space="0" w:color="auto"/>
            <w:right w:val="none" w:sz="0" w:space="0" w:color="auto"/>
          </w:divBdr>
        </w:div>
        <w:div w:id="1984309120">
          <w:marLeft w:val="1411"/>
          <w:marRight w:val="0"/>
          <w:marTop w:val="96"/>
          <w:marBottom w:val="0"/>
          <w:divBdr>
            <w:top w:val="none" w:sz="0" w:space="0" w:color="auto"/>
            <w:left w:val="none" w:sz="0" w:space="0" w:color="auto"/>
            <w:bottom w:val="none" w:sz="0" w:space="0" w:color="auto"/>
            <w:right w:val="none" w:sz="0" w:space="0" w:color="auto"/>
          </w:divBdr>
        </w:div>
      </w:divsChild>
    </w:div>
    <w:div w:id="1599824013">
      <w:bodyDiv w:val="1"/>
      <w:marLeft w:val="0"/>
      <w:marRight w:val="0"/>
      <w:marTop w:val="0"/>
      <w:marBottom w:val="0"/>
      <w:divBdr>
        <w:top w:val="none" w:sz="0" w:space="0" w:color="auto"/>
        <w:left w:val="none" w:sz="0" w:space="0" w:color="auto"/>
        <w:bottom w:val="none" w:sz="0" w:space="0" w:color="auto"/>
        <w:right w:val="none" w:sz="0" w:space="0" w:color="auto"/>
      </w:divBdr>
    </w:div>
    <w:div w:id="1766881378">
      <w:bodyDiv w:val="1"/>
      <w:marLeft w:val="0"/>
      <w:marRight w:val="0"/>
      <w:marTop w:val="0"/>
      <w:marBottom w:val="0"/>
      <w:divBdr>
        <w:top w:val="none" w:sz="0" w:space="0" w:color="auto"/>
        <w:left w:val="none" w:sz="0" w:space="0" w:color="auto"/>
        <w:bottom w:val="none" w:sz="0" w:space="0" w:color="auto"/>
        <w:right w:val="none" w:sz="0" w:space="0" w:color="auto"/>
      </w:divBdr>
    </w:div>
    <w:div w:id="1795520805">
      <w:bodyDiv w:val="1"/>
      <w:marLeft w:val="0"/>
      <w:marRight w:val="0"/>
      <w:marTop w:val="0"/>
      <w:marBottom w:val="0"/>
      <w:divBdr>
        <w:top w:val="none" w:sz="0" w:space="0" w:color="auto"/>
        <w:left w:val="none" w:sz="0" w:space="0" w:color="auto"/>
        <w:bottom w:val="none" w:sz="0" w:space="0" w:color="auto"/>
        <w:right w:val="none" w:sz="0" w:space="0" w:color="auto"/>
      </w:divBdr>
    </w:div>
    <w:div w:id="1987859261">
      <w:bodyDiv w:val="1"/>
      <w:marLeft w:val="0"/>
      <w:marRight w:val="0"/>
      <w:marTop w:val="0"/>
      <w:marBottom w:val="0"/>
      <w:divBdr>
        <w:top w:val="none" w:sz="0" w:space="0" w:color="auto"/>
        <w:left w:val="none" w:sz="0" w:space="0" w:color="auto"/>
        <w:bottom w:val="none" w:sz="0" w:space="0" w:color="auto"/>
        <w:right w:val="none" w:sz="0" w:space="0" w:color="auto"/>
      </w:divBdr>
    </w:div>
    <w:div w:id="207565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image" Target="media/image2.png"/><Relationship Id="rId16" Type="http://schemas.openxmlformats.org/officeDocument/2006/relationships/image" Target="media/image3.emf"/><Relationship Id="rId17" Type="http://schemas.openxmlformats.org/officeDocument/2006/relationships/image" Target="media/image4.png"/><Relationship Id="rId18" Type="http://schemas.openxmlformats.org/officeDocument/2006/relationships/header" Target="head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8</Value>
      <Value>9</Value>
      <Value>100</Value>
      <Value>3</Value>
      <Value>118</Value>
      <Value>117</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MAC</TermName>
          <TermId xmlns="http://schemas.microsoft.com/office/infopath/2007/PartnerControls">3f738cdc-f215-4a33-b766-14880b973699</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Scheduling</TermName>
          <TermId xmlns="http://schemas.microsoft.com/office/infopath/2007/PartnerControls">97554e01-9e86-4026-9f27-4e4b9212ec86</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s>
    </TaxKeywordTaxHTField>
    <EriCOLLCustomerTaxHTField0 xmlns="08b2df90-05d3-4030-90d4-c9feeb4a1cd9">
      <Terms xmlns="http://schemas.microsoft.com/office/infopath/2007/PartnerControls"/>
    </EriCOLLCustomerTaxHTField0>
    <_dlc_DocId xmlns="08b2df90-05d3-4030-90d4-c9feeb4a1cd9">5NUHHDQN7SK2-1-178274</_dlc_DocId>
    <_dlc_DocIdUrl xmlns="08b2df90-05d3-4030-90d4-c9feeb4a1cd9">
      <Url>https://ericoll.internal.ericsson.com/sites/star/_layouts/DocIdRedir.aspx?ID=5NUHHDQN7SK2-1-178274</Url>
      <Description>5NUHHDQN7SK2-1-178274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F89CF-15AB-432D-BE4A-323B83856366}">
  <ds:schemaRefs>
    <ds:schemaRef ds:uri="http://schemas.microsoft.com/sharepoint/events"/>
  </ds:schemaRefs>
</ds:datastoreItem>
</file>

<file path=customXml/itemProps2.xml><?xml version="1.0" encoding="utf-8"?>
<ds:datastoreItem xmlns:ds="http://schemas.openxmlformats.org/officeDocument/2006/customXml" ds:itemID="{2CB84CBE-D65C-4DFC-9BB4-C67DCD109C0F}">
  <ds:schemaRefs>
    <ds:schemaRef ds:uri="http://schemas.microsoft.com/sharepoint/v3/contenttype/forms"/>
  </ds:schemaRefs>
</ds:datastoreItem>
</file>

<file path=customXml/itemProps3.xml><?xml version="1.0" encoding="utf-8"?>
<ds:datastoreItem xmlns:ds="http://schemas.openxmlformats.org/officeDocument/2006/customXml" ds:itemID="{08DC735C-0730-49EB-9945-421F2161BE48}">
  <ds:schemaRefs>
    <ds:schemaRef ds:uri="Microsoft.SharePoint.Taxonomy.ContentTypeSync"/>
  </ds:schemaRefs>
</ds:datastoreItem>
</file>

<file path=customXml/itemProps4.xml><?xml version="1.0" encoding="utf-8"?>
<ds:datastoreItem xmlns:ds="http://schemas.openxmlformats.org/officeDocument/2006/customXml" ds:itemID="{FF135285-4BC0-4BAB-84E7-67EB2D4FEBF1}">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AA93CEE3-03D7-441E-B22C-282D3950E5EC}">
  <ds:schemaRefs>
    <ds:schemaRef ds:uri="http://schemas.microsoft.com/office/2006/metadata/longProperties"/>
  </ds:schemaRefs>
</ds:datastoreItem>
</file>

<file path=customXml/itemProps6.xml><?xml version="1.0" encoding="utf-8"?>
<ds:datastoreItem xmlns:ds="http://schemas.openxmlformats.org/officeDocument/2006/customXml" ds:itemID="{CC5AAA52-1BD5-4C35-A4C5-6B758A5C7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3CA054E-0DDC-8446-818D-086D1D9A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1670</TotalTime>
  <Pages>4</Pages>
  <Words>1619</Words>
  <Characters>8001</Characters>
  <Application>Microsoft Macintosh Word</Application>
  <DocSecurity>0</DocSecurity>
  <Lines>140</Lines>
  <Paragraphs>83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9537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NR; Scheduling; 3GPP; MAC; up</cp:keywords>
  <cp:lastModifiedBy/>
  <cp:revision>153</cp:revision>
  <cp:lastPrinted>2017-05-29T12:22:00Z</cp:lastPrinted>
  <dcterms:created xsi:type="dcterms:W3CDTF">2017-06-14T04:22:00Z</dcterms:created>
  <dcterms:modified xsi:type="dcterms:W3CDTF">2017-08-11T19:43:00Z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10;#3GPP|6a3890dd-b3c6-4ee1-9283-043167dd414d;#9;#TDoc|b7cb4b2e-7c24-4f9d-967d-e29f765ecb8a;#8;#Ericsson|c60ff206-3dbb-4410-a86e-50fd188c386c;#117;#MAC|3f738cdc-f215-4a33-b766-14880b973699;#82;#NR|7b72ee01-8348-4904-90db-1cf7b18d5474;#118;#Scheduling|9755</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6493df4c-2a0d-490b-b4ba-fca9f4e040e9</vt:lpwstr>
  </property>
</Properties>
</file>